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75" w:rsidRPr="003B5F75" w:rsidRDefault="003B5F75">
      <w:pPr>
        <w:pStyle w:val="ConsPlusNormal"/>
        <w:outlineLvl w:val="0"/>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Зарегистрировано в Департаменте финансов Ивановской обл. 22 апреля 2024 г.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241500005</w:t>
      </w:r>
    </w:p>
    <w:p w:rsidR="003B5F75" w:rsidRPr="003B5F75" w:rsidRDefault="003B5F75">
      <w:pPr>
        <w:pStyle w:val="ConsPlusNormal"/>
        <w:pBdr>
          <w:bottom w:val="single" w:sz="6" w:space="0" w:color="auto"/>
        </w:pBdr>
        <w:spacing w:before="100" w:after="100"/>
        <w:jc w:val="both"/>
        <w:rPr>
          <w:rFonts w:ascii="Times New Roman" w:hAnsi="Times New Roman" w:cs="Times New Roman"/>
          <w:color w:val="000000" w:themeColor="text1"/>
          <w:sz w:val="24"/>
          <w:szCs w:val="24"/>
        </w:rPr>
      </w:pPr>
    </w:p>
    <w:p w:rsidR="003B5F75" w:rsidRPr="003B5F75" w:rsidRDefault="003B5F75">
      <w:pPr>
        <w:pStyle w:val="ConsPlusNormal"/>
        <w:rPr>
          <w:rFonts w:ascii="Times New Roman" w:hAnsi="Times New Roman" w:cs="Times New Roman"/>
          <w:color w:val="000000" w:themeColor="text1"/>
          <w:sz w:val="24"/>
          <w:szCs w:val="24"/>
        </w:rPr>
      </w:pP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ДЕПАРТАМЕНТ ФИНАНСОВ ИВАНОВСКОЙ ОБЛАСТИ</w:t>
      </w:r>
    </w:p>
    <w:p w:rsidR="003B5F75" w:rsidRPr="003B5F75" w:rsidRDefault="003B5F75">
      <w:pPr>
        <w:pStyle w:val="ConsPlusTitle"/>
        <w:jc w:val="both"/>
        <w:rPr>
          <w:rFonts w:ascii="Times New Roman" w:hAnsi="Times New Roman" w:cs="Times New Roman"/>
          <w:color w:val="000000" w:themeColor="text1"/>
          <w:sz w:val="24"/>
          <w:szCs w:val="24"/>
        </w:rPr>
      </w:pP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ПРИКАЗ</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от 22 апреля 2024 г.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114</w:t>
      </w:r>
    </w:p>
    <w:p w:rsidR="003B5F75" w:rsidRPr="003B5F75" w:rsidRDefault="003B5F75">
      <w:pPr>
        <w:pStyle w:val="ConsPlusTitle"/>
        <w:jc w:val="both"/>
        <w:rPr>
          <w:rFonts w:ascii="Times New Roman" w:hAnsi="Times New Roman" w:cs="Times New Roman"/>
          <w:color w:val="000000" w:themeColor="text1"/>
          <w:sz w:val="24"/>
          <w:szCs w:val="24"/>
        </w:rPr>
      </w:pP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ОБ УСТАНОВЛЕНИИ ПОРЯДКА ПРОВЕДЕНИЯ ДЕПАРТАМЕНТОМ</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ФИНАНСОВ ИВАНОВСКОЙ ОБЛАСТИ МОНИТОРИНГА КАЧЕСТВА</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ФИНАНСОВОГО МЕНЕДЖМЕНТА</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В соответствии с </w:t>
      </w:r>
      <w:hyperlink r:id="rId4">
        <w:r w:rsidRPr="003B5F75">
          <w:rPr>
            <w:rFonts w:ascii="Times New Roman" w:hAnsi="Times New Roman" w:cs="Times New Roman"/>
            <w:color w:val="000000" w:themeColor="text1"/>
            <w:sz w:val="24"/>
            <w:szCs w:val="24"/>
          </w:rPr>
          <w:t>подпунктом 1 пункта 6 статьи 160.2-1</w:t>
        </w:r>
      </w:hyperlink>
      <w:r w:rsidRPr="003B5F75">
        <w:rPr>
          <w:rFonts w:ascii="Times New Roman" w:hAnsi="Times New Roman" w:cs="Times New Roman"/>
          <w:color w:val="000000" w:themeColor="text1"/>
          <w:sz w:val="24"/>
          <w:szCs w:val="24"/>
        </w:rPr>
        <w:t xml:space="preserve"> Бюджетного кодекса Российской Федерации в целях проведения Департаментом финансов Ивановской области мониторинга качества финансового менеджмента в отношении главных администраторов средств областного бюджета, а также в целях повышения качества управления региональными финансами приказываю:</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1. Установить </w:t>
      </w:r>
      <w:hyperlink w:anchor="P35">
        <w:r w:rsidRPr="003B5F75">
          <w:rPr>
            <w:rFonts w:ascii="Times New Roman" w:hAnsi="Times New Roman" w:cs="Times New Roman"/>
            <w:color w:val="000000" w:themeColor="text1"/>
            <w:sz w:val="24"/>
            <w:szCs w:val="24"/>
          </w:rPr>
          <w:t>Порядок</w:t>
        </w:r>
      </w:hyperlink>
      <w:r w:rsidRPr="003B5F75">
        <w:rPr>
          <w:rFonts w:ascii="Times New Roman" w:hAnsi="Times New Roman" w:cs="Times New Roman"/>
          <w:color w:val="000000" w:themeColor="text1"/>
          <w:sz w:val="24"/>
          <w:szCs w:val="24"/>
        </w:rPr>
        <w:t xml:space="preserve"> проведения Департаментом финансов Ивановской области мониторинга качества финансового менеджмента (прилагается).</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 Контроль исполнения настоящего приказа оставляю за собой.</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Заместитель Председателя</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Правительства Ивановской области -</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директор Департамента финансов</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Ивановской области</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Л.В.ЯКОВЛЕВА</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right"/>
        <w:outlineLvl w:val="0"/>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Приложение</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 приказу</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Департамента финансов</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Ивановской области</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от 22.04.2024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114</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Title"/>
        <w:jc w:val="center"/>
        <w:rPr>
          <w:rFonts w:ascii="Times New Roman" w:hAnsi="Times New Roman" w:cs="Times New Roman"/>
          <w:color w:val="000000" w:themeColor="text1"/>
          <w:sz w:val="24"/>
          <w:szCs w:val="24"/>
        </w:rPr>
      </w:pPr>
      <w:bookmarkStart w:id="0" w:name="P35"/>
      <w:bookmarkEnd w:id="0"/>
      <w:r w:rsidRPr="003B5F75">
        <w:rPr>
          <w:rFonts w:ascii="Times New Roman" w:hAnsi="Times New Roman" w:cs="Times New Roman"/>
          <w:color w:val="000000" w:themeColor="text1"/>
          <w:sz w:val="24"/>
          <w:szCs w:val="24"/>
        </w:rPr>
        <w:t>ПОРЯДОК</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ПРОВЕДЕНИЯ ДЕПАРТАМЕНТОМ ФИНАНСОВ ИВАНОВСКОЙ ОБЛАСТИ</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МОНИТОРИНГА КАЧЕСТВА ФИНАНСОВОГО МЕНЕДЖМЕНТА</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Title"/>
        <w:jc w:val="center"/>
        <w:outlineLvl w:val="1"/>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I. Общие положения</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 Настоящий Порядок определяет правила проведения Департаментом финансов Ивановской области мониторинга качества финансового менеджмента в отношении главных администраторов средств областного бюджета (главных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областного бюджета) (далее - Мониторинг, ГАБС), в том числе:</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Мониторинга;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 правила формирования и представления отчета о результатах Мониторинга.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 Мониторинг проводится в целях:</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определения качества финансового менеджмента ГАБС по данным отчетного финансового года;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анализа ГАБС ежегодных изменений качества финансового менеджмента по сравнению с предыдущим периодом;</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подготовки и реализации ГАБС мер, направленных на повышение качества финансового менеджмента.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 Мониторинг проводится путем анализа и оценки исполнения выполняемых ГАБС бюджетных полномочий, а также управления активами, осуществления закупок товаров, работ и услуг для обеспечения государственных нужд по направлениям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качество управления доходами;</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качество управления расходами, включая осуществление закупок товаров, работ и услуг для обеспечения государственных нужд;</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качество управления активами, ведения учета и составления бюджетной отчетности.</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 Мониторинг проводится ежегодно, до 1 июня года, следующего за отчетным финансовым годом (в 2024 году - до 1 августа).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 Мониторинг проводится на основании следующих источников информации:</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 информации, содержащейся в государственной информационной системе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Система управления региональными финансами Ивановской области</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в государственной интегрированной информационной системе управления общественными финансами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Электронный бюджет</w:t>
      </w:r>
      <w:bookmarkStart w:id="1" w:name="_GoBack"/>
      <w:r>
        <w:rPr>
          <w:rFonts w:ascii="Times New Roman" w:hAnsi="Times New Roman" w:cs="Times New Roman"/>
          <w:color w:val="000000" w:themeColor="text1"/>
          <w:sz w:val="24"/>
          <w:szCs w:val="24"/>
        </w:rPr>
        <w:t>»</w:t>
      </w:r>
      <w:bookmarkEnd w:id="1"/>
      <w:r w:rsidRPr="003B5F75">
        <w:rPr>
          <w:rFonts w:ascii="Times New Roman" w:hAnsi="Times New Roman" w:cs="Times New Roman"/>
          <w:color w:val="000000" w:themeColor="text1"/>
          <w:sz w:val="24"/>
          <w:szCs w:val="24"/>
        </w:rPr>
        <w:t>;</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 информации, размещенной на официальных сайтах ГАБС в информационно-телекоммуникационной сети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информации, представляемой ГАБС в Департамент финансов Ивановской области в соответствии с настоящим Порядком;</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иной информации, полученной Департаментом финансов Ивановской области при осуществлении своей деятельности.</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Title"/>
        <w:jc w:val="center"/>
        <w:outlineLvl w:val="1"/>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II. Правила расчета и анализа значений показателей качества</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финансового менеджмента, формирования и представления</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информации, необходимой для проведения Мониторинга</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6. Департамент финансов Ивановской области с использованием данных из источников информации осуществляет по каждому ГАБС расчет и анализ значений </w:t>
      </w:r>
      <w:hyperlink w:anchor="P156">
        <w:r w:rsidRPr="003B5F75">
          <w:rPr>
            <w:rFonts w:ascii="Times New Roman" w:hAnsi="Times New Roman" w:cs="Times New Roman"/>
            <w:color w:val="000000" w:themeColor="text1"/>
            <w:sz w:val="24"/>
            <w:szCs w:val="24"/>
          </w:rPr>
          <w:t>показателей</w:t>
        </w:r>
      </w:hyperlink>
      <w:r w:rsidRPr="003B5F75">
        <w:rPr>
          <w:rFonts w:ascii="Times New Roman" w:hAnsi="Times New Roman" w:cs="Times New Roman"/>
          <w:color w:val="000000" w:themeColor="text1"/>
          <w:sz w:val="24"/>
          <w:szCs w:val="24"/>
        </w:rPr>
        <w:t xml:space="preserve"> качества финансового менеджмента (далее - показатели качества), согласно Приложению 1 к настоящему Порядку, по направлениям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7. Каждый показатель качества исходя из расчета и анализа принимает значение по шкале от 0 до 5 баллов.</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8. В целях расчета показателей качества, ГАБС формируют </w:t>
      </w:r>
      <w:hyperlink w:anchor="P786">
        <w:r w:rsidRPr="003B5F75">
          <w:rPr>
            <w:rFonts w:ascii="Times New Roman" w:hAnsi="Times New Roman" w:cs="Times New Roman"/>
            <w:color w:val="000000" w:themeColor="text1"/>
            <w:sz w:val="24"/>
            <w:szCs w:val="24"/>
          </w:rPr>
          <w:t>информацию</w:t>
        </w:r>
      </w:hyperlink>
      <w:r w:rsidRPr="003B5F75">
        <w:rPr>
          <w:rFonts w:ascii="Times New Roman" w:hAnsi="Times New Roman" w:cs="Times New Roman"/>
          <w:color w:val="000000" w:themeColor="text1"/>
          <w:sz w:val="24"/>
          <w:szCs w:val="24"/>
        </w:rPr>
        <w:t xml:space="preserve"> согласно Приложению 2 к настоящему Порядку и представляют ее в Департамент финансов Ивановской области в срок не позднее 25 марта ежегодно (в 2024 году информация не представляется).</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9. Оценка качества финансового менеджмента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 определяется по формуле:</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noProof/>
          <w:color w:val="000000" w:themeColor="text1"/>
          <w:position w:val="-27"/>
          <w:sz w:val="24"/>
          <w:szCs w:val="24"/>
        </w:rPr>
        <w:drawing>
          <wp:inline distT="0" distB="0" distL="0" distR="0">
            <wp:extent cx="117348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492760"/>
                    </a:xfrm>
                    <a:prstGeom prst="rect">
                      <a:avLst/>
                    </a:prstGeom>
                    <a:noFill/>
                    <a:ln>
                      <a:noFill/>
                    </a:ln>
                  </pic:spPr>
                </pic:pic>
              </a:graphicData>
            </a:graphic>
          </wp:inline>
        </w:drawing>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O</w:t>
      </w:r>
      <w:r w:rsidRPr="003B5F75">
        <w:rPr>
          <w:rFonts w:ascii="Times New Roman" w:hAnsi="Times New Roman" w:cs="Times New Roman"/>
          <w:color w:val="000000" w:themeColor="text1"/>
          <w:sz w:val="24"/>
          <w:szCs w:val="24"/>
          <w:vertAlign w:val="subscript"/>
        </w:rPr>
        <w:t>i</w:t>
      </w:r>
      <w:proofErr w:type="spellEnd"/>
      <w:r w:rsidRPr="003B5F75">
        <w:rPr>
          <w:rFonts w:ascii="Times New Roman" w:hAnsi="Times New Roman" w:cs="Times New Roman"/>
          <w:color w:val="000000" w:themeColor="text1"/>
          <w:sz w:val="24"/>
          <w:szCs w:val="24"/>
        </w:rPr>
        <w:t xml:space="preserve"> - оценка качества финансового менеджмента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m - количество направлений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O</w:t>
      </w:r>
      <w:r w:rsidRPr="003B5F75">
        <w:rPr>
          <w:rFonts w:ascii="Times New Roman" w:hAnsi="Times New Roman" w:cs="Times New Roman"/>
          <w:color w:val="000000" w:themeColor="text1"/>
          <w:sz w:val="24"/>
          <w:szCs w:val="24"/>
          <w:vertAlign w:val="subscript"/>
        </w:rPr>
        <w:t>ij</w:t>
      </w:r>
      <w:proofErr w:type="spellEnd"/>
      <w:r w:rsidRPr="003B5F75">
        <w:rPr>
          <w:rFonts w:ascii="Times New Roman" w:hAnsi="Times New Roman" w:cs="Times New Roman"/>
          <w:color w:val="000000" w:themeColor="text1"/>
          <w:sz w:val="24"/>
          <w:szCs w:val="24"/>
        </w:rPr>
        <w:t xml:space="preserve"> - оценка качества финансового менеджмента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d</w:t>
      </w:r>
      <w:r w:rsidRPr="003B5F75">
        <w:rPr>
          <w:rFonts w:ascii="Times New Roman" w:hAnsi="Times New Roman" w:cs="Times New Roman"/>
          <w:color w:val="000000" w:themeColor="text1"/>
          <w:sz w:val="24"/>
          <w:szCs w:val="24"/>
          <w:vertAlign w:val="subscript"/>
        </w:rPr>
        <w:t>j</w:t>
      </w:r>
      <w:proofErr w:type="spellEnd"/>
      <w:r w:rsidRPr="003B5F75">
        <w:rPr>
          <w:rFonts w:ascii="Times New Roman" w:hAnsi="Times New Roman" w:cs="Times New Roman"/>
          <w:color w:val="000000" w:themeColor="text1"/>
          <w:sz w:val="24"/>
          <w:szCs w:val="24"/>
        </w:rPr>
        <w:t xml:space="preserve"> - удельный вес j-</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направления оценки качества, согласно </w:t>
      </w:r>
      <w:hyperlink w:anchor="P161">
        <w:r w:rsidRPr="003B5F75">
          <w:rPr>
            <w:rFonts w:ascii="Times New Roman" w:hAnsi="Times New Roman" w:cs="Times New Roman"/>
            <w:color w:val="000000" w:themeColor="text1"/>
            <w:sz w:val="24"/>
            <w:szCs w:val="24"/>
          </w:rPr>
          <w:t>графе 3</w:t>
        </w:r>
      </w:hyperlink>
      <w:r w:rsidRPr="003B5F75">
        <w:rPr>
          <w:rFonts w:ascii="Times New Roman" w:hAnsi="Times New Roman" w:cs="Times New Roman"/>
          <w:color w:val="000000" w:themeColor="text1"/>
          <w:sz w:val="24"/>
          <w:szCs w:val="24"/>
        </w:rPr>
        <w:t xml:space="preserve"> Приложения 1 к настоящему Порядку.</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В случае отсутствия направления оценки качества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 удельный вес этого направления распределяется пропорционально на остальные направления оценки качества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10. Оценка качества финансового менеджмента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 определяется по формуле:</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noProof/>
          <w:color w:val="000000" w:themeColor="text1"/>
          <w:position w:val="-26"/>
          <w:sz w:val="24"/>
          <w:szCs w:val="24"/>
        </w:rPr>
        <w:drawing>
          <wp:inline distT="0" distB="0" distL="0" distR="0">
            <wp:extent cx="12052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5230" cy="471805"/>
                    </a:xfrm>
                    <a:prstGeom prst="rect">
                      <a:avLst/>
                    </a:prstGeom>
                    <a:noFill/>
                    <a:ln>
                      <a:noFill/>
                    </a:ln>
                  </pic:spPr>
                </pic:pic>
              </a:graphicData>
            </a:graphic>
          </wp:inline>
        </w:drawing>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 количество показателей качества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xml:space="preserve"> - значение k-</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показателя качества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d</w:t>
      </w:r>
      <w:r w:rsidRPr="003B5F75">
        <w:rPr>
          <w:rFonts w:ascii="Times New Roman" w:hAnsi="Times New Roman" w:cs="Times New Roman"/>
          <w:color w:val="000000" w:themeColor="text1"/>
          <w:sz w:val="24"/>
          <w:szCs w:val="24"/>
          <w:vertAlign w:val="subscript"/>
        </w:rPr>
        <w:t>k</w:t>
      </w:r>
      <w:proofErr w:type="spellEnd"/>
      <w:r w:rsidRPr="003B5F75">
        <w:rPr>
          <w:rFonts w:ascii="Times New Roman" w:hAnsi="Times New Roman" w:cs="Times New Roman"/>
          <w:color w:val="000000" w:themeColor="text1"/>
          <w:sz w:val="24"/>
          <w:szCs w:val="24"/>
        </w:rPr>
        <w:t xml:space="preserve"> - удельный вес k-</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показателя качества, согласно </w:t>
      </w:r>
      <w:hyperlink w:anchor="P161">
        <w:r w:rsidRPr="003B5F75">
          <w:rPr>
            <w:rFonts w:ascii="Times New Roman" w:hAnsi="Times New Roman" w:cs="Times New Roman"/>
            <w:color w:val="000000" w:themeColor="text1"/>
            <w:sz w:val="24"/>
            <w:szCs w:val="24"/>
          </w:rPr>
          <w:t>графе 3</w:t>
        </w:r>
      </w:hyperlink>
      <w:r w:rsidRPr="003B5F75">
        <w:rPr>
          <w:rFonts w:ascii="Times New Roman" w:hAnsi="Times New Roman" w:cs="Times New Roman"/>
          <w:color w:val="000000" w:themeColor="text1"/>
          <w:sz w:val="24"/>
          <w:szCs w:val="24"/>
        </w:rPr>
        <w:t xml:space="preserve"> Приложения 1 к настоящему Порядку.</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В случае, если показатель качества не рассчитывается применительно к i-</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ГАБС в силу специфики его деятельности, то удельный вес этого показателя качества распределяется пропорционально на остальные показатели качества соответствующего направления оценки качества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11. Целевое значение показателей качества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 рассчитывается по следующей формуле:</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noProof/>
          <w:color w:val="000000" w:themeColor="text1"/>
          <w:position w:val="-22"/>
          <w:sz w:val="24"/>
          <w:szCs w:val="24"/>
        </w:rPr>
        <w:lastRenderedPageBreak/>
        <w:drawing>
          <wp:inline distT="0" distB="0" distL="0" distR="0">
            <wp:extent cx="134112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Аj</w:t>
      </w:r>
      <w:proofErr w:type="spellEnd"/>
      <w:r w:rsidRPr="003B5F75">
        <w:rPr>
          <w:rFonts w:ascii="Times New Roman" w:hAnsi="Times New Roman" w:cs="Times New Roman"/>
          <w:color w:val="000000" w:themeColor="text1"/>
          <w:sz w:val="24"/>
          <w:szCs w:val="24"/>
        </w:rPr>
        <w:t xml:space="preserve"> - целевое значение показателей качества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Оmaxj</w:t>
      </w:r>
      <w:proofErr w:type="spellEnd"/>
      <w:r w:rsidRPr="003B5F75">
        <w:rPr>
          <w:rFonts w:ascii="Times New Roman" w:hAnsi="Times New Roman" w:cs="Times New Roman"/>
          <w:color w:val="000000" w:themeColor="text1"/>
          <w:sz w:val="24"/>
          <w:szCs w:val="24"/>
        </w:rPr>
        <w:t xml:space="preserve"> - максимальная оценка качества финансового менеджмента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Оcrj</w:t>
      </w:r>
      <w:proofErr w:type="spellEnd"/>
      <w:r w:rsidRPr="003B5F75">
        <w:rPr>
          <w:rFonts w:ascii="Times New Roman" w:hAnsi="Times New Roman" w:cs="Times New Roman"/>
          <w:color w:val="000000" w:themeColor="text1"/>
          <w:sz w:val="24"/>
          <w:szCs w:val="24"/>
        </w:rPr>
        <w:t xml:space="preserve"> - среднее значение показателей качества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12. Среднее значение показателей качества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 определяется по формуле:</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noProof/>
          <w:color w:val="000000" w:themeColor="text1"/>
          <w:position w:val="-28"/>
          <w:sz w:val="24"/>
          <w:szCs w:val="24"/>
        </w:rPr>
        <w:drawing>
          <wp:inline distT="0" distB="0" distL="0" distR="0">
            <wp:extent cx="100584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502920"/>
                    </a:xfrm>
                    <a:prstGeom prst="rect">
                      <a:avLst/>
                    </a:prstGeom>
                    <a:noFill/>
                    <a:ln>
                      <a:noFill/>
                    </a:ln>
                  </pic:spPr>
                </pic:pic>
              </a:graphicData>
            </a:graphic>
          </wp:inline>
        </w:drawing>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Оij</w:t>
      </w:r>
      <w:proofErr w:type="spellEnd"/>
      <w:r w:rsidRPr="003B5F75">
        <w:rPr>
          <w:rFonts w:ascii="Times New Roman" w:hAnsi="Times New Roman" w:cs="Times New Roman"/>
          <w:color w:val="000000" w:themeColor="text1"/>
          <w:sz w:val="24"/>
          <w:szCs w:val="24"/>
        </w:rPr>
        <w:t xml:space="preserve"> - оценка качества финансового менеджмента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hj</w:t>
      </w:r>
      <w:proofErr w:type="spellEnd"/>
      <w:r w:rsidRPr="003B5F75">
        <w:rPr>
          <w:rFonts w:ascii="Times New Roman" w:hAnsi="Times New Roman" w:cs="Times New Roman"/>
          <w:color w:val="000000" w:themeColor="text1"/>
          <w:sz w:val="24"/>
          <w:szCs w:val="24"/>
        </w:rPr>
        <w:t xml:space="preserve"> - количество ГАБС, в отношении которых осуществлялся расчет по j-</w:t>
      </w:r>
      <w:proofErr w:type="spellStart"/>
      <w:r w:rsidRPr="003B5F75">
        <w:rPr>
          <w:rFonts w:ascii="Times New Roman" w:hAnsi="Times New Roman" w:cs="Times New Roman"/>
          <w:color w:val="000000" w:themeColor="text1"/>
          <w:sz w:val="24"/>
          <w:szCs w:val="24"/>
        </w:rPr>
        <w:t>му</w:t>
      </w:r>
      <w:proofErr w:type="spellEnd"/>
      <w:r w:rsidRPr="003B5F75">
        <w:rPr>
          <w:rFonts w:ascii="Times New Roman" w:hAnsi="Times New Roman" w:cs="Times New Roman"/>
          <w:color w:val="000000" w:themeColor="text1"/>
          <w:sz w:val="24"/>
          <w:szCs w:val="24"/>
        </w:rPr>
        <w:t xml:space="preserve"> направлению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13. Итоговая оценка качества финансового менеджмента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 определяется по формуле:</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noProof/>
          <w:color w:val="000000" w:themeColor="text1"/>
          <w:position w:val="-28"/>
          <w:sz w:val="24"/>
          <w:szCs w:val="24"/>
        </w:rPr>
        <w:drawing>
          <wp:inline distT="0" distB="0" distL="0" distR="0">
            <wp:extent cx="133096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0960" cy="502920"/>
                    </a:xfrm>
                    <a:prstGeom prst="rect">
                      <a:avLst/>
                    </a:prstGeom>
                    <a:noFill/>
                    <a:ln>
                      <a:noFill/>
                    </a:ln>
                  </pic:spPr>
                </pic:pic>
              </a:graphicData>
            </a:graphic>
          </wp:inline>
        </w:drawing>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R</w:t>
      </w:r>
      <w:r w:rsidRPr="003B5F75">
        <w:rPr>
          <w:rFonts w:ascii="Times New Roman" w:hAnsi="Times New Roman" w:cs="Times New Roman"/>
          <w:color w:val="000000" w:themeColor="text1"/>
          <w:sz w:val="24"/>
          <w:szCs w:val="24"/>
          <w:vertAlign w:val="subscript"/>
        </w:rPr>
        <w:t>i</w:t>
      </w:r>
      <w:proofErr w:type="spellEnd"/>
      <w:r w:rsidRPr="003B5F75">
        <w:rPr>
          <w:rFonts w:ascii="Times New Roman" w:hAnsi="Times New Roman" w:cs="Times New Roman"/>
          <w:color w:val="000000" w:themeColor="text1"/>
          <w:sz w:val="24"/>
          <w:szCs w:val="24"/>
        </w:rPr>
        <w:t xml:space="preserve"> - итоговая оценка качества финансового менеджмента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K - коэффициент сложности управления финансами (далее - коэффициент сложности);</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O</w:t>
      </w:r>
      <w:r w:rsidRPr="003B5F75">
        <w:rPr>
          <w:rFonts w:ascii="Times New Roman" w:hAnsi="Times New Roman" w:cs="Times New Roman"/>
          <w:color w:val="000000" w:themeColor="text1"/>
          <w:sz w:val="24"/>
          <w:szCs w:val="24"/>
          <w:vertAlign w:val="subscript"/>
        </w:rPr>
        <w:t>max</w:t>
      </w:r>
      <w:proofErr w:type="spellEnd"/>
      <w:r w:rsidRPr="003B5F75">
        <w:rPr>
          <w:rFonts w:ascii="Times New Roman" w:hAnsi="Times New Roman" w:cs="Times New Roman"/>
          <w:color w:val="000000" w:themeColor="text1"/>
          <w:sz w:val="24"/>
          <w:szCs w:val="24"/>
        </w:rPr>
        <w:t xml:space="preserve"> - максимальная оценка качества финансового менеджмента, равная 5-ти баллам.</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Коэффициент сложности принимает следующие значения:</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1,10 - для ГАБС, расходы которых составляют не менее 10 процентов расходов областного бюджета, и (или) ГАБС, имеющих в функциональном подчинении 25 и более подведомственных учреждений;</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1,05 - для ГАБС, расходы которых составляют от 3 до 10 процентов расходов областного бюджета, и (или) ГАБС, имеющих в функциональном подчинении от 10 до 25 подведомственных учреждений;</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1,02 - для ГАБС, расходы которых составляют от 1 до 3 процентов расходов областного бюджета, и (или) ГАБС, имеющих в функциональном подчинении от 5 до 10 подведомственных учреждений;</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1,00 - для остальных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Коэффициенты сложности не суммируются. В случае, если для одного и того же ГАБС выполняются условия применения двух разных коэффициентов сложности, то в расчет итоговой оценки качества финансового менеджмента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 берется коэффициент сложности, имеющий наибольшее значение.</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Максимальная итоговая оценка качества финансового менеджмента ГАБС составляет 100%. В случае, если итоговая оценка качества финансового менеджмента превышает 100%, ее значение принимается равным 100%.</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14. Целевое значение итоговой оценки качества финансового менеджмента рассчитывается по каждому направлению оценки качества по следующей формуле:</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noProof/>
          <w:color w:val="000000" w:themeColor="text1"/>
          <w:position w:val="-22"/>
          <w:sz w:val="24"/>
          <w:szCs w:val="24"/>
        </w:rPr>
        <w:drawing>
          <wp:inline distT="0" distB="0" distL="0" distR="0">
            <wp:extent cx="1016635"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635" cy="429895"/>
                    </a:xfrm>
                    <a:prstGeom prst="rect">
                      <a:avLst/>
                    </a:prstGeom>
                    <a:noFill/>
                    <a:ln>
                      <a:noFill/>
                    </a:ln>
                  </pic:spPr>
                </pic:pic>
              </a:graphicData>
            </a:graphic>
          </wp:inline>
        </w:drawing>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А - целевое значение итоговой оценки качества финансового менеджмента;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Оcr</w:t>
      </w:r>
      <w:proofErr w:type="spellEnd"/>
      <w:r w:rsidRPr="003B5F75">
        <w:rPr>
          <w:rFonts w:ascii="Times New Roman" w:hAnsi="Times New Roman" w:cs="Times New Roman"/>
          <w:color w:val="000000" w:themeColor="text1"/>
          <w:sz w:val="24"/>
          <w:szCs w:val="24"/>
        </w:rPr>
        <w:t xml:space="preserve"> - среднее значение итоговой оценки качества финансового менеджмента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15. Среднее значение итоговой оценки качества финансового менеджмента определяется по формуле:</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noProof/>
          <w:color w:val="000000" w:themeColor="text1"/>
          <w:position w:val="-26"/>
          <w:sz w:val="24"/>
          <w:szCs w:val="24"/>
        </w:rPr>
        <w:drawing>
          <wp:inline distT="0" distB="0" distL="0" distR="0">
            <wp:extent cx="890905"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Ri</w:t>
      </w:r>
      <w:proofErr w:type="spellEnd"/>
      <w:r w:rsidRPr="003B5F75">
        <w:rPr>
          <w:rFonts w:ascii="Times New Roman" w:hAnsi="Times New Roman" w:cs="Times New Roman"/>
          <w:color w:val="000000" w:themeColor="text1"/>
          <w:sz w:val="24"/>
          <w:szCs w:val="24"/>
        </w:rPr>
        <w:t xml:space="preserve"> - итоговая оценка качества финансового менеджмента i-</w:t>
      </w:r>
      <w:proofErr w:type="spellStart"/>
      <w:r w:rsidRPr="003B5F75">
        <w:rPr>
          <w:rFonts w:ascii="Times New Roman" w:hAnsi="Times New Roman" w:cs="Times New Roman"/>
          <w:color w:val="000000" w:themeColor="text1"/>
          <w:sz w:val="24"/>
          <w:szCs w:val="24"/>
        </w:rPr>
        <w:t>го</w:t>
      </w:r>
      <w:proofErr w:type="spellEnd"/>
      <w:r w:rsidRPr="003B5F75">
        <w:rPr>
          <w:rFonts w:ascii="Times New Roman" w:hAnsi="Times New Roman" w:cs="Times New Roman"/>
          <w:color w:val="000000" w:themeColor="text1"/>
          <w:sz w:val="24"/>
          <w:szCs w:val="24"/>
        </w:rPr>
        <w:t xml:space="preserve">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h - количество ГАБС, в отношении которых проводится Мониторинг.</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Title"/>
        <w:jc w:val="center"/>
        <w:outlineLvl w:val="1"/>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III. Правила формирования и представления отчета</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 результатах Мониторинга, использование сведений,</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содержащихся в отчете о результатах Мониторинга</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16. Департамент финансов Ивановской области формирует отчет о результатах Мониторинга (далее - Отчет) по ГАБС и размещает его на официальном сайте Департамента финансов Ивановской области в информационно-телекоммуникационной сети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до 1 июня года, следующего за отчетным (в 2024 году - до 1 августа).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Отчет содержит:</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значения итоговой оценки качества финансового менеджмента ГАБС и всех показателей качества, используемых для ее расчета;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целевое значение итоговой оценки качества финансового менеджмента и целевые значения показателей качества ГАБС по направлениям и отклонения от них;</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 рейтинг качества финансового менеджмента ГАБС, сформированный по четырем уровням: высокий, средний, удовлетворительный и неудовлетворительный уровень </w:t>
      </w:r>
      <w:r w:rsidRPr="003B5F75">
        <w:rPr>
          <w:rFonts w:ascii="Times New Roman" w:hAnsi="Times New Roman" w:cs="Times New Roman"/>
          <w:color w:val="000000" w:themeColor="text1"/>
          <w:sz w:val="24"/>
          <w:szCs w:val="24"/>
        </w:rPr>
        <w:lastRenderedPageBreak/>
        <w:t>качества финансового менеджмента в зависимости от значения итоговой оценки качества финансового менеджмента ГАБС:</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высокий уровень - значение итоговой оценки качества финансового менеджмента находится в диапазоне от 85,0 до 100,0 процента;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средний уровень - значение итоговой оценки качества финансового менеджмента находится в диапазоне от 70,0 до 84,9 процента;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удовлетворительный уровень - значение итоговой оценки качества финансового менеджмента находится в диапазоне от 50,0 до 69,9 процента;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неудовлетворительный уровень - значение итоговой оценки качества финансового менеджмента находится в диапазоне от 0,0 до 49,9 процента.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17. ГАБС по результатам проведения Мониторинга направляют в Департамент финансов Ивановской области путем размещения в государственной информационной системе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Система управления региональными финансами Ивановской области</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w:t>
      </w:r>
      <w:hyperlink w:anchor="P910">
        <w:r w:rsidRPr="003B5F75">
          <w:rPr>
            <w:rFonts w:ascii="Times New Roman" w:hAnsi="Times New Roman" w:cs="Times New Roman"/>
            <w:color w:val="000000" w:themeColor="text1"/>
            <w:sz w:val="24"/>
            <w:szCs w:val="24"/>
          </w:rPr>
          <w:t>сведения</w:t>
        </w:r>
      </w:hyperlink>
      <w:r w:rsidRPr="003B5F75">
        <w:rPr>
          <w:rFonts w:ascii="Times New Roman" w:hAnsi="Times New Roman" w:cs="Times New Roman"/>
          <w:color w:val="000000" w:themeColor="text1"/>
          <w:sz w:val="24"/>
          <w:szCs w:val="24"/>
        </w:rPr>
        <w:t xml:space="preserve"> о реализации мер, направленных на повышение качества финансового менеджмента (далее - Сведения), по форме приложения 3 к настоящему Порядку, в срок до 25 марта года, следующего за годом проведения Мониторинга.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При заполнении Сведений по каждому направлению оценки качества, значение оценки по которому отклоняется от целевого значения в отрицательную сторону более чем на 25%, указываются причины отклонения и данные о планируемых (исполняемых) мероприятиях, направленных на достижение целевых значений соответствующих направлений оценки качества.</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При отсутствии у ГАБС отклонений от целевого значения в отрицательную сторону более чем на 25% Сведения в Департамент финансов Ивановской области не направляются.</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right"/>
        <w:outlineLvl w:val="1"/>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Приложение 1</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 Порядку</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проведения Департаментом финансов Ивановской области</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мониторинга качества финансового менеджмента</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Title"/>
        <w:jc w:val="center"/>
        <w:rPr>
          <w:rFonts w:ascii="Times New Roman" w:hAnsi="Times New Roman" w:cs="Times New Roman"/>
          <w:color w:val="000000" w:themeColor="text1"/>
          <w:sz w:val="24"/>
          <w:szCs w:val="24"/>
        </w:rPr>
      </w:pPr>
      <w:bookmarkStart w:id="2" w:name="P156"/>
      <w:bookmarkEnd w:id="2"/>
      <w:r w:rsidRPr="003B5F75">
        <w:rPr>
          <w:rFonts w:ascii="Times New Roman" w:hAnsi="Times New Roman" w:cs="Times New Roman"/>
          <w:color w:val="000000" w:themeColor="text1"/>
          <w:sz w:val="24"/>
          <w:szCs w:val="24"/>
        </w:rPr>
        <w:t>Показатели качества финансового менеджмента</w:t>
      </w:r>
    </w:p>
    <w:p w:rsidR="003B5F75" w:rsidRPr="003B5F75" w:rsidRDefault="003B5F75">
      <w:pPr>
        <w:pStyle w:val="ConsPlusTitle"/>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главных администраторов средств областного бюджета</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rPr>
          <w:rFonts w:ascii="Times New Roman" w:hAnsi="Times New Roman" w:cs="Times New Roman"/>
          <w:color w:val="000000" w:themeColor="text1"/>
          <w:sz w:val="24"/>
          <w:szCs w:val="24"/>
        </w:rPr>
        <w:sectPr w:rsidR="003B5F75" w:rsidRPr="003B5F75" w:rsidSect="009D2C7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62"/>
        <w:gridCol w:w="2098"/>
        <w:gridCol w:w="3686"/>
        <w:gridCol w:w="1417"/>
        <w:gridCol w:w="1711"/>
        <w:gridCol w:w="3118"/>
      </w:tblGrid>
      <w:tr w:rsidR="003B5F75" w:rsidRPr="003B5F75">
        <w:tc>
          <w:tcPr>
            <w:tcW w:w="624" w:type="dxa"/>
          </w:tcPr>
          <w:p w:rsidR="003B5F75" w:rsidRPr="003B5F75" w:rsidRDefault="003B5F7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3B5F75">
              <w:rPr>
                <w:rFonts w:ascii="Times New Roman" w:hAnsi="Times New Roman" w:cs="Times New Roman"/>
                <w:color w:val="000000" w:themeColor="text1"/>
                <w:sz w:val="24"/>
                <w:szCs w:val="24"/>
              </w:rPr>
              <w:t xml:space="preserve"> п/п</w:t>
            </w:r>
          </w:p>
        </w:tc>
        <w:tc>
          <w:tcPr>
            <w:tcW w:w="3562"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Наименование направления оценки качества/показателя качества</w:t>
            </w:r>
          </w:p>
        </w:tc>
        <w:tc>
          <w:tcPr>
            <w:tcW w:w="2098" w:type="dxa"/>
          </w:tcPr>
          <w:p w:rsidR="003B5F75" w:rsidRPr="003B5F75" w:rsidRDefault="003B5F75">
            <w:pPr>
              <w:pStyle w:val="ConsPlusNormal"/>
              <w:jc w:val="center"/>
              <w:rPr>
                <w:rFonts w:ascii="Times New Roman" w:hAnsi="Times New Roman" w:cs="Times New Roman"/>
                <w:color w:val="000000" w:themeColor="text1"/>
                <w:sz w:val="24"/>
                <w:szCs w:val="24"/>
              </w:rPr>
            </w:pPr>
            <w:bookmarkStart w:id="3" w:name="P161"/>
            <w:bookmarkEnd w:id="3"/>
            <w:r w:rsidRPr="003B5F75">
              <w:rPr>
                <w:rFonts w:ascii="Times New Roman" w:hAnsi="Times New Roman" w:cs="Times New Roman"/>
                <w:color w:val="000000" w:themeColor="text1"/>
                <w:sz w:val="24"/>
                <w:szCs w:val="24"/>
              </w:rPr>
              <w:t>Удельный вес направления оценки качества (</w:t>
            </w:r>
            <w:proofErr w:type="spellStart"/>
            <w:r w:rsidRPr="003B5F75">
              <w:rPr>
                <w:rFonts w:ascii="Times New Roman" w:hAnsi="Times New Roman" w:cs="Times New Roman"/>
                <w:color w:val="000000" w:themeColor="text1"/>
                <w:sz w:val="24"/>
                <w:szCs w:val="24"/>
              </w:rPr>
              <w:t>d</w:t>
            </w:r>
            <w:r w:rsidRPr="003B5F75">
              <w:rPr>
                <w:rFonts w:ascii="Times New Roman" w:hAnsi="Times New Roman" w:cs="Times New Roman"/>
                <w:color w:val="000000" w:themeColor="text1"/>
                <w:sz w:val="24"/>
                <w:szCs w:val="24"/>
                <w:vertAlign w:val="subscript"/>
              </w:rPr>
              <w:t>j</w:t>
            </w:r>
            <w:proofErr w:type="spellEnd"/>
            <w:r w:rsidRPr="003B5F75">
              <w:rPr>
                <w:rFonts w:ascii="Times New Roman" w:hAnsi="Times New Roman" w:cs="Times New Roman"/>
                <w:color w:val="000000" w:themeColor="text1"/>
                <w:sz w:val="24"/>
                <w:szCs w:val="24"/>
              </w:rPr>
              <w:t>)/показателя качества (</w:t>
            </w:r>
            <w:proofErr w:type="spellStart"/>
            <w:r w:rsidRPr="003B5F75">
              <w:rPr>
                <w:rFonts w:ascii="Times New Roman" w:hAnsi="Times New Roman" w:cs="Times New Roman"/>
                <w:color w:val="000000" w:themeColor="text1"/>
                <w:sz w:val="24"/>
                <w:szCs w:val="24"/>
              </w:rPr>
              <w:t>d</w:t>
            </w:r>
            <w:r w:rsidRPr="003B5F75">
              <w:rPr>
                <w:rFonts w:ascii="Times New Roman" w:hAnsi="Times New Roman" w:cs="Times New Roman"/>
                <w:color w:val="000000" w:themeColor="text1"/>
                <w:sz w:val="24"/>
                <w:szCs w:val="24"/>
                <w:vertAlign w:val="subscript"/>
              </w:rPr>
              <w:t>k</w:t>
            </w:r>
            <w:proofErr w:type="spellEnd"/>
            <w:r w:rsidRPr="003B5F75">
              <w:rPr>
                <w:rFonts w:ascii="Times New Roman" w:hAnsi="Times New Roman" w:cs="Times New Roman"/>
                <w:color w:val="000000" w:themeColor="text1"/>
                <w:sz w:val="24"/>
                <w:szCs w:val="24"/>
              </w:rPr>
              <w:t>)</w:t>
            </w:r>
          </w:p>
        </w:tc>
        <w:tc>
          <w:tcPr>
            <w:tcW w:w="3686"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Расчет и анализ значения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w:t>
            </w:r>
          </w:p>
        </w:tc>
        <w:tc>
          <w:tcPr>
            <w:tcW w:w="1417"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Единица измерения показателя качества</w:t>
            </w: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Значение показателя качества в баллах</w:t>
            </w:r>
          </w:p>
        </w:tc>
        <w:tc>
          <w:tcPr>
            <w:tcW w:w="311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Комментарий</w:t>
            </w:r>
          </w:p>
        </w:tc>
      </w:tr>
      <w:tr w:rsidR="003B5F75" w:rsidRPr="003B5F75">
        <w:tc>
          <w:tcPr>
            <w:tcW w:w="62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w:t>
            </w:r>
          </w:p>
        </w:tc>
        <w:tc>
          <w:tcPr>
            <w:tcW w:w="3562"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209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686"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1417"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6</w:t>
            </w:r>
          </w:p>
        </w:tc>
        <w:tc>
          <w:tcPr>
            <w:tcW w:w="311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7</w:t>
            </w:r>
          </w:p>
        </w:tc>
      </w:tr>
      <w:tr w:rsidR="003B5F75" w:rsidRPr="003B5F75">
        <w:tc>
          <w:tcPr>
            <w:tcW w:w="624"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w:t>
            </w:r>
          </w:p>
        </w:tc>
        <w:tc>
          <w:tcPr>
            <w:tcW w:w="3562"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Качество управления доходами</w:t>
            </w:r>
          </w:p>
        </w:tc>
        <w:tc>
          <w:tcPr>
            <w:tcW w:w="209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0,20</w:t>
            </w:r>
          </w:p>
        </w:tc>
        <w:tc>
          <w:tcPr>
            <w:tcW w:w="9932" w:type="dxa"/>
            <w:gridSpan w:val="4"/>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1.1</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Отклонение фактического поступления налоговых и неналоговых доходов (за исключением невыясненных поступлений) областного бюджета по закрепленным за ГАБС видам доходов бюджета от первоначально утвержденного уровня</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0,20</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P1.1 = Д / П x 100 - 100,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 - объем налоговых и неналоговых доходов (за исключением невыясненных поступлений), поступивший в отчетном финансовом году по закрепленным за ГАБС видам доходов бюджета;</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 - первоначально утвержденный законом об областном бюджете объем налоговых и неналоговых доходов, представленный в составе документов к проекту закона Ивановской области об областном бюджете на очередной финансовый год и плановый период</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Отрицательно оценивается как недовыполнение прогноза поступления доходов, так и значительное перевыполнение прогноза по доходам в отчетном финансовом году. 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xml:space="preserve"> не менее (-5%) и не более 5%</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 &lt;= P1.1 &lt;= 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 &lt; P1.1 &lt;= 15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 &gt; P1.1 &gt; 15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1.2</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Соблюдение ГАБС сроков представления в Департамент финансов Ивановской области 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0,25</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P1.2 - представление ГАБС в установленные сроки 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 в соответствии с утвержденным Правительством Ивановской области Порядком составления проекта областного бюджета на очередной финансовый год и плановый период</w:t>
            </w: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Показатель характеризует своевременность представления ГАБС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P1.2 - материалы представлены ГАБС в установленные сроки и в полном объеме</w:t>
            </w:r>
          </w:p>
        </w:tc>
        <w:tc>
          <w:tcPr>
            <w:tcW w:w="1417" w:type="dxa"/>
            <w:vMerge w:val="restart"/>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P1.2 - материалы представлены ГАБС с нарушением установленных сроков и (или) не в полном объеме</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1.3</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Качество управления просроченной дебиторской задолженностью по платежам в бюджет</w:t>
            </w:r>
          </w:p>
        </w:tc>
        <w:tc>
          <w:tcPr>
            <w:tcW w:w="209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0,20</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P1.3 = (Dp1 - Dp0) / Dp0,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Dp0 - просроченная дебиторская задолженность по платежам в бюджет на начало отчетного финансового года;</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Dp1 - просроченная дебиторская </w:t>
            </w:r>
            <w:r w:rsidRPr="003B5F75">
              <w:rPr>
                <w:rFonts w:ascii="Times New Roman" w:hAnsi="Times New Roman" w:cs="Times New Roman"/>
                <w:color w:val="000000" w:themeColor="text1"/>
                <w:sz w:val="24"/>
                <w:szCs w:val="24"/>
              </w:rPr>
              <w:lastRenderedPageBreak/>
              <w:t>задолженность по платежам в бюджет на конец отчетного финансового года</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тыс. руб.</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Негативным считается рост просроченной дебиторской задолженности по платежам в бюджет</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P1.3 &lt;=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P1.3 &gt;=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1.4</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Эффективность управления дебиторской задолженностью по доходам</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0,20</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P1.4 = D / </w:t>
            </w:r>
            <w:proofErr w:type="spellStart"/>
            <w:r w:rsidRPr="003B5F75">
              <w:rPr>
                <w:rFonts w:ascii="Times New Roman" w:hAnsi="Times New Roman" w:cs="Times New Roman"/>
                <w:color w:val="000000" w:themeColor="text1"/>
                <w:sz w:val="24"/>
                <w:szCs w:val="24"/>
              </w:rPr>
              <w:t>Rf</w:t>
            </w:r>
            <w:proofErr w:type="spellEnd"/>
            <w:r w:rsidRPr="003B5F75">
              <w:rPr>
                <w:rFonts w:ascii="Times New Roman" w:hAnsi="Times New Roman" w:cs="Times New Roman"/>
                <w:color w:val="000000" w:themeColor="text1"/>
                <w:sz w:val="24"/>
                <w:szCs w:val="24"/>
              </w:rPr>
              <w:t>,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D - объем просроченной дебиторской задолженности по состоянию на 1 января года, следующего за отчетным;</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Rf</w:t>
            </w:r>
            <w:proofErr w:type="spellEnd"/>
            <w:r w:rsidRPr="003B5F75">
              <w:rPr>
                <w:rFonts w:ascii="Times New Roman" w:hAnsi="Times New Roman" w:cs="Times New Roman"/>
                <w:color w:val="000000" w:themeColor="text1"/>
                <w:sz w:val="24"/>
                <w:szCs w:val="24"/>
              </w:rPr>
              <w:t xml:space="preserve"> - кассовое исполнение доходов в отчетном финансовом году</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тыс. руб.</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Негативным считается факт накопления значительного объема денежных средств, не перечисленных в доход бюджета в установленные сроки</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P1.4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P1.4 &gt;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1.5</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Эффективность управления просроченной дебиторской задолженностью ГАБС и подведомственных ему государственных учреждений</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0,15</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Наличие просроченной дебиторской задолженности ГАБС и подведомственных ему государственных учреждений на конец отчетного финансового года</w:t>
            </w:r>
          </w:p>
        </w:tc>
        <w:tc>
          <w:tcPr>
            <w:tcW w:w="1417" w:type="dxa"/>
            <w:vMerge w:val="restart"/>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равное 0</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P1.5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P1.5 &gt;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562"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Качество управления расходами, включая осуществление закупок товаров, работ и услуг для обеспечения государственных нужд</w:t>
            </w:r>
          </w:p>
        </w:tc>
        <w:tc>
          <w:tcPr>
            <w:tcW w:w="209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0,7</w:t>
            </w:r>
          </w:p>
        </w:tc>
        <w:tc>
          <w:tcPr>
            <w:tcW w:w="3686" w:type="dxa"/>
          </w:tcPr>
          <w:p w:rsidR="003B5F75" w:rsidRPr="003B5F75" w:rsidRDefault="003B5F75">
            <w:pPr>
              <w:pStyle w:val="ConsPlusNormal"/>
              <w:rPr>
                <w:rFonts w:ascii="Times New Roman" w:hAnsi="Times New Roman" w:cs="Times New Roman"/>
                <w:color w:val="000000" w:themeColor="text1"/>
                <w:sz w:val="24"/>
                <w:szCs w:val="24"/>
              </w:rPr>
            </w:pP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2.1</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Количество внесенных изменений в закон Ивановской области об областном бюджете</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P2.1 - количество справок о внесении изменений в закон Ивановской области об областном бюджете в ходе исполнения областного бюджета, подготовленных по инициативе ГАБС (без учета поступлений из федерального бюджета; перераспределения зарезервированных средств; перераспределения бюджетных ассигнований в рамках реализации наказов избирателей депутатам Ивановской областной Думы; изменений бюджетной классификации)</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Единица</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Большое количество изменений в закон Ивановской области об областном бюджете в ходе его исполнения в течение года свидетельствует о низком качестве работы ГАБС по планированию расходов областного бюджета. 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равное 0</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 &lt; P2.1 &lt;= 1</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 = 2</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 = 3</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 &gt;= 4</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Количество изменений, внесенных в сводную бюджетную роспись областного бюджета в случае перераспределения бюджетных ассигнований между кодами подгрупп видов расходов </w:t>
            </w:r>
            <w:r w:rsidRPr="003B5F75">
              <w:rPr>
                <w:rFonts w:ascii="Times New Roman" w:hAnsi="Times New Roman" w:cs="Times New Roman"/>
                <w:color w:val="000000" w:themeColor="text1"/>
                <w:sz w:val="24"/>
                <w:szCs w:val="24"/>
              </w:rPr>
              <w:lastRenderedPageBreak/>
              <w:t>классификации расходов бюджетов и в лимиты бюджетных обязательств в случае перераспределения между элементами видов расходов классификации расходов бюджетов</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P2.2 - количество справок об изменении показателей сводной бюджетной росписи областного бюджета в случае перераспределения бюджетных ассигнований между кодами подгрупп видов расходов </w:t>
            </w:r>
            <w:r w:rsidRPr="003B5F75">
              <w:rPr>
                <w:rFonts w:ascii="Times New Roman" w:hAnsi="Times New Roman" w:cs="Times New Roman"/>
                <w:color w:val="000000" w:themeColor="text1"/>
                <w:sz w:val="24"/>
                <w:szCs w:val="24"/>
              </w:rPr>
              <w:lastRenderedPageBreak/>
              <w:t>классификации расходов бюджетов и справок об изменении лимитов бюджетных обязательств в случае перераспределения между элементами видов расходов классификации расходов бюджетов, в ходе исполнения областного бюджета в отчетном финансовом году</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Единица</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областного </w:t>
            </w:r>
            <w:r w:rsidRPr="003B5F75">
              <w:rPr>
                <w:rFonts w:ascii="Times New Roman" w:hAnsi="Times New Roman" w:cs="Times New Roman"/>
                <w:color w:val="000000" w:themeColor="text1"/>
                <w:sz w:val="24"/>
                <w:szCs w:val="24"/>
              </w:rPr>
              <w:lastRenderedPageBreak/>
              <w:t>бюджета свидетельствует о низком качестве работы ГАБС по финансовому планированию</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 &lt; P2.2 &lt;= 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 &lt; P2.2 &lt;= 10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10 &lt; P2.2 &lt;= 15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 &gt; 15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2.3</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Доля суммы изменений, внесенных в сводную бюджетную роспись областного бюджета и лимиты бюджетных обязательств в течение отчетного финансового года</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P2.3 = (</w:t>
            </w:r>
            <w:proofErr w:type="spellStart"/>
            <w:r w:rsidRPr="003B5F75">
              <w:rPr>
                <w:rFonts w:ascii="Times New Roman" w:hAnsi="Times New Roman" w:cs="Times New Roman"/>
                <w:color w:val="000000" w:themeColor="text1"/>
                <w:sz w:val="24"/>
                <w:szCs w:val="24"/>
              </w:rPr>
              <w:t>Sсбр</w:t>
            </w:r>
            <w:proofErr w:type="spellEnd"/>
            <w:r w:rsidRPr="003B5F75">
              <w:rPr>
                <w:rFonts w:ascii="Times New Roman" w:hAnsi="Times New Roman" w:cs="Times New Roman"/>
                <w:color w:val="000000" w:themeColor="text1"/>
                <w:sz w:val="24"/>
                <w:szCs w:val="24"/>
              </w:rPr>
              <w:t xml:space="preserve"> + </w:t>
            </w:r>
            <w:proofErr w:type="spellStart"/>
            <w:r w:rsidRPr="003B5F75">
              <w:rPr>
                <w:rFonts w:ascii="Times New Roman" w:hAnsi="Times New Roman" w:cs="Times New Roman"/>
                <w:color w:val="000000" w:themeColor="text1"/>
                <w:sz w:val="24"/>
                <w:szCs w:val="24"/>
              </w:rPr>
              <w:t>Sлбо</w:t>
            </w:r>
            <w:proofErr w:type="spellEnd"/>
            <w:r w:rsidRPr="003B5F75">
              <w:rPr>
                <w:rFonts w:ascii="Times New Roman" w:hAnsi="Times New Roman" w:cs="Times New Roman"/>
                <w:color w:val="000000" w:themeColor="text1"/>
                <w:sz w:val="24"/>
                <w:szCs w:val="24"/>
              </w:rPr>
              <w:t>) / A x 100, где:</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Sсбр</w:t>
            </w:r>
            <w:proofErr w:type="spellEnd"/>
            <w:r w:rsidRPr="003B5F75">
              <w:rPr>
                <w:rFonts w:ascii="Times New Roman" w:hAnsi="Times New Roman" w:cs="Times New Roman"/>
                <w:color w:val="000000" w:themeColor="text1"/>
                <w:sz w:val="24"/>
                <w:szCs w:val="24"/>
              </w:rPr>
              <w:t xml:space="preserve"> - сумма положительных изменений в отчетном финансовом году в сводную бюджетную роспись областного бюджета в случаях перераспределения бюджетных ассигнований:</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в связи с принятием закона о внесении изменений в закон Ивановской области об областном бюджете;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 между текущим финансовым годом и плановым периодом - в </w:t>
            </w:r>
            <w:r w:rsidRPr="003B5F75">
              <w:rPr>
                <w:rFonts w:ascii="Times New Roman" w:hAnsi="Times New Roman" w:cs="Times New Roman"/>
                <w:color w:val="000000" w:themeColor="text1"/>
                <w:sz w:val="24"/>
                <w:szCs w:val="24"/>
              </w:rPr>
              <w:lastRenderedPageBreak/>
              <w:t>пределах предусмотренного законом Ивановской области об областном бюджете общего объема бюджетных ассигнований ГАБС на оказание государственных услуг на соответствующий финансовый год;</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между кодами подгрупп видов расходов классификации расходов бюджетов;</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Sлбо</w:t>
            </w:r>
            <w:proofErr w:type="spellEnd"/>
            <w:r w:rsidRPr="003B5F75">
              <w:rPr>
                <w:rFonts w:ascii="Times New Roman" w:hAnsi="Times New Roman" w:cs="Times New Roman"/>
                <w:color w:val="000000" w:themeColor="text1"/>
                <w:sz w:val="24"/>
                <w:szCs w:val="24"/>
              </w:rPr>
              <w:t xml:space="preserve"> - сумма положительных изменений в отчетном финансовом году в случае перераспределения лимитов бюджетных обязательств между элементами видов расходов классификации расходов бюджетов;</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A - объем бюджетных ассигнований ГАБС в отчетном финансовом году согласно сводной бюджетной росписи с учетом внесенных в нее изменений по состоянию на конец отчетного финансового года</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областного бюджета свидетельствует о низком качестве работы ГАБС по финансовому планированию</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P2.3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 &lt; P2.3 &lt;= 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 &lt; P2.3 &lt;= 10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10 &lt; P2.3 &lt;= 15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P2.3 &gt; 15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2.4</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Количество изменений, вносимых в утвержденные ГАБС государственные задания на оказание (выполнение) государственных услуг (работ)</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P2.4 - количество изменений, вносимых в утвержденные ГАБС государственные задания на оказание (выполнение) государственных услуг (работ)</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Единица</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Большое количество изменений в утвержденные государственные задания на оказание (выполнение) государственных услуг (работ) свидетельствует о низком качестве работы ГАБС по формированию государственных заданий на оказание (выполнение) государственных услуг (работ)</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P2.4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 &lt; P2.4 &lt;= 4</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 &lt; P2.4 &lt;= 6</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P2.4 &gt; 6</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2.5</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Количество изменений в утвержденные базовые нормативы затрат на оказание государственных услуг (нормативные затраты на выполнение работ) (за исключением изменений, вносимых в течение финансового года в связи с принятыми решениями Правительства Ивановской области об индексации заработной платы работников государственных учреждений, повышением минимального размера оплаты труда)</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P2.5 - количество изменений в утвержденные базовые нормативы затрат на оказание государственных услуг (нормативные затраты на выполнение работ) (за исключением изменений, вносимых в течение финансового года в связи с принятыми решениями Правительства Ивановской области об индексации заработной платы работников государственных учреждений, повышением минимального размера оплаты труда)</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Единица</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Большое количество изменений в утвержденные базовые нормативы затрат на оказание государственных услуг (нормативные затраты на выполнение работ) свидетельствует о низком качестве работы ГАБС при утверждении (изменении) базовых нормативов затрат на оказание государственных услуг (нормативных затрат на выполнение работ)</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P2.5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P2.5 = 1</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 &lt; P2.5 &lt;= 3</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P2.5 &gt; 3</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2.6</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Корректность указания правовых оснований возникновения расходного обязательства Ивановской области, финансового обеспечения и расходования средств областного бюджета в реестре расходных обязательств Ивановской области (в количественном выражении)</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P2.6 =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о /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x 100, где:</w:t>
            </w:r>
          </w:p>
          <w:p w:rsidR="003B5F75" w:rsidRPr="003B5F75" w:rsidRDefault="003B5F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о - количество расходных обязательств, по которым правовые основания возникновения, финансового обеспечения и расходования средств областного бюджета указаны не в полном объеме;</w:t>
            </w:r>
          </w:p>
          <w:p w:rsidR="003B5F75" w:rsidRPr="003B5F75" w:rsidRDefault="003B5F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 общее количество расходных обязательств Ивановской области, предусмотренных ГАБС</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Показатель характеризует долю (в количественном выражении) расходных обязательств Ивановской области, правовые основания возникновения, финансового обеспечения и расходования средств областного бюджета которых указаны не в полном объеме</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P2.6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 &lt; P2.6 &lt;= 10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P2.6 &gt; 10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2.7</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Корректность указания правовых оснований возникновения расходного обязательства Ивановской области, финансового обеспечения и расходования средств областного бюджета в реестре расходных обязательств Ивановской </w:t>
            </w:r>
            <w:r w:rsidRPr="003B5F75">
              <w:rPr>
                <w:rFonts w:ascii="Times New Roman" w:hAnsi="Times New Roman" w:cs="Times New Roman"/>
                <w:color w:val="000000" w:themeColor="text1"/>
                <w:sz w:val="24"/>
                <w:szCs w:val="24"/>
              </w:rPr>
              <w:lastRenderedPageBreak/>
              <w:t>области (в денежном выражении)</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P2.7 = </w:t>
            </w:r>
            <w:proofErr w:type="spellStart"/>
            <w:r w:rsidRPr="003B5F75">
              <w:rPr>
                <w:rFonts w:ascii="Times New Roman" w:hAnsi="Times New Roman" w:cs="Times New Roman"/>
                <w:color w:val="000000" w:themeColor="text1"/>
                <w:sz w:val="24"/>
                <w:szCs w:val="24"/>
              </w:rPr>
              <w:t>Sо</w:t>
            </w:r>
            <w:proofErr w:type="spellEnd"/>
            <w:r w:rsidRPr="003B5F75">
              <w:rPr>
                <w:rFonts w:ascii="Times New Roman" w:hAnsi="Times New Roman" w:cs="Times New Roman"/>
                <w:color w:val="000000" w:themeColor="text1"/>
                <w:sz w:val="24"/>
                <w:szCs w:val="24"/>
              </w:rPr>
              <w:t xml:space="preserve"> / S x 100, где:</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Sо</w:t>
            </w:r>
            <w:proofErr w:type="spellEnd"/>
            <w:r w:rsidRPr="003B5F75">
              <w:rPr>
                <w:rFonts w:ascii="Times New Roman" w:hAnsi="Times New Roman" w:cs="Times New Roman"/>
                <w:color w:val="000000" w:themeColor="text1"/>
                <w:sz w:val="24"/>
                <w:szCs w:val="24"/>
              </w:rPr>
              <w:t xml:space="preserve"> - сумма объемов бюджетных ассигнований на обеспечение расходных обязательств Ивановской области, по которым правовые основания возникновения, финансового обеспечения и расходования </w:t>
            </w:r>
            <w:r w:rsidRPr="003B5F75">
              <w:rPr>
                <w:rFonts w:ascii="Times New Roman" w:hAnsi="Times New Roman" w:cs="Times New Roman"/>
                <w:color w:val="000000" w:themeColor="text1"/>
                <w:sz w:val="24"/>
                <w:szCs w:val="24"/>
              </w:rPr>
              <w:lastRenderedPageBreak/>
              <w:t>средств областного бюджета указаны не в полном объеме;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S - общий объем бюджетных ассигнований расходных обязательств Ивановской области, предусмотренных ГАБС</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Показатель характеризует долю (в денежном выражении) расходных обязательств Ивановской области, правовые основания возникновения, финансового обеспечения и расходования средств областного бюджета </w:t>
            </w:r>
            <w:r w:rsidRPr="003B5F75">
              <w:rPr>
                <w:rFonts w:ascii="Times New Roman" w:hAnsi="Times New Roman" w:cs="Times New Roman"/>
                <w:color w:val="000000" w:themeColor="text1"/>
                <w:sz w:val="24"/>
                <w:szCs w:val="24"/>
              </w:rPr>
              <w:lastRenderedPageBreak/>
              <w:t>которых указаны не в полном объеме</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P2.7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 &lt; P2.7 &lt;= 10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P2.7 &gt; 10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2.8</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Соблюдение ГАБС сроков представления в Департамент финансов Ивановской области 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P2.8 - представление ГАБС в установленные сроки 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 в соответствии с утвержденным Правительством Ивановской области </w:t>
            </w:r>
            <w:hyperlink r:id="rId12">
              <w:r w:rsidRPr="003B5F75">
                <w:rPr>
                  <w:rFonts w:ascii="Times New Roman" w:hAnsi="Times New Roman" w:cs="Times New Roman"/>
                  <w:color w:val="000000" w:themeColor="text1"/>
                  <w:sz w:val="24"/>
                  <w:szCs w:val="24"/>
                </w:rPr>
                <w:t>Порядком</w:t>
              </w:r>
            </w:hyperlink>
            <w:r w:rsidRPr="003B5F75">
              <w:rPr>
                <w:rFonts w:ascii="Times New Roman" w:hAnsi="Times New Roman" w:cs="Times New Roman"/>
                <w:color w:val="000000" w:themeColor="text1"/>
                <w:sz w:val="24"/>
                <w:szCs w:val="24"/>
              </w:rPr>
              <w:t xml:space="preserve"> составления проекта областного бюджета на очередной финансовый год и плановый период</w:t>
            </w:r>
          </w:p>
        </w:tc>
        <w:tc>
          <w:tcPr>
            <w:tcW w:w="1417" w:type="dxa"/>
            <w:vMerge w:val="restart"/>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Показатель характеризует своевременность представления ГАБС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P2.8 - материалы представлены ГАБС в установленные сроки и в полном объеме</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P2.8 - материалы представлены ГАБС с нарушением установленных сроков и (или) не в полном объеме</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2.9</w:t>
            </w:r>
          </w:p>
        </w:tc>
        <w:tc>
          <w:tcPr>
            <w:tcW w:w="3562"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Качество подготовки обоснований бюджетных ассигнований</w:t>
            </w:r>
          </w:p>
        </w:tc>
        <w:tc>
          <w:tcPr>
            <w:tcW w:w="209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P2.9 = </w:t>
            </w:r>
            <w:proofErr w:type="spellStart"/>
            <w:r w:rsidRPr="003B5F75">
              <w:rPr>
                <w:rFonts w:ascii="Times New Roman" w:hAnsi="Times New Roman" w:cs="Times New Roman"/>
                <w:color w:val="000000" w:themeColor="text1"/>
                <w:sz w:val="24"/>
                <w:szCs w:val="24"/>
              </w:rPr>
              <w:t>Od</w:t>
            </w:r>
            <w:proofErr w:type="spellEnd"/>
            <w:r w:rsidRPr="003B5F75">
              <w:rPr>
                <w:rFonts w:ascii="Times New Roman" w:hAnsi="Times New Roman" w:cs="Times New Roman"/>
                <w:color w:val="000000" w:themeColor="text1"/>
                <w:sz w:val="24"/>
                <w:szCs w:val="24"/>
              </w:rPr>
              <w:t xml:space="preserve"> / O x 100,</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Od</w:t>
            </w:r>
            <w:proofErr w:type="spellEnd"/>
            <w:r w:rsidRPr="003B5F75">
              <w:rPr>
                <w:rFonts w:ascii="Times New Roman" w:hAnsi="Times New Roman" w:cs="Times New Roman"/>
                <w:color w:val="000000" w:themeColor="text1"/>
                <w:sz w:val="24"/>
                <w:szCs w:val="24"/>
              </w:rPr>
              <w:t xml:space="preserve"> - количество отклоненных Департаментом финансов обоснований бюджетных ассигнований (в единицах);</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O - общее количество представленных в Департамент финансов Ивановской области обоснований бюджетных ассигнований</w:t>
            </w:r>
          </w:p>
        </w:tc>
        <w:tc>
          <w:tcPr>
            <w:tcW w:w="1417"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Значение показателя характеризует качество подготовки главным администратором обоснований бюджетных ассигнований, представляемых в Департамент финансов Ивановской области, включая их соответствие бюджетному законодательству Российской Федерации, правовым основаниям возникновения расходных обязательств Российской Федерации, утвержденному Департаментом финансов Ивановской области </w:t>
            </w:r>
            <w:hyperlink r:id="rId13">
              <w:r w:rsidRPr="003B5F75">
                <w:rPr>
                  <w:rFonts w:ascii="Times New Roman" w:hAnsi="Times New Roman" w:cs="Times New Roman"/>
                  <w:color w:val="000000" w:themeColor="text1"/>
                  <w:sz w:val="24"/>
                  <w:szCs w:val="24"/>
                </w:rPr>
                <w:t>Порядку</w:t>
              </w:r>
            </w:hyperlink>
            <w:r w:rsidRPr="003B5F75">
              <w:rPr>
                <w:rFonts w:ascii="Times New Roman" w:hAnsi="Times New Roman" w:cs="Times New Roman"/>
                <w:color w:val="000000" w:themeColor="text1"/>
                <w:sz w:val="24"/>
                <w:szCs w:val="24"/>
              </w:rPr>
              <w:t xml:space="preserve"> планирования бюджетных ассигнований областного бюджета на очередной финансовый год и плановый период</w:t>
            </w: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 &lt;= P2.9 &lt; 15</w:t>
            </w: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15 &lt;= P2.9 &lt; 40</w:t>
            </w: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P2.9 &gt;= 40</w:t>
            </w: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2.10</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Доля субсидий бюджетам муниципальных образований Ивановской области, соглашения о предоставлении которых заключены в сроки, установленные </w:t>
            </w:r>
            <w:hyperlink r:id="rId14">
              <w:r w:rsidRPr="003B5F75">
                <w:rPr>
                  <w:rFonts w:ascii="Times New Roman" w:hAnsi="Times New Roman" w:cs="Times New Roman"/>
                  <w:color w:val="000000" w:themeColor="text1"/>
                  <w:sz w:val="24"/>
                  <w:szCs w:val="24"/>
                </w:rPr>
                <w:t>постановлением</w:t>
              </w:r>
            </w:hyperlink>
            <w:r w:rsidRPr="003B5F75">
              <w:rPr>
                <w:rFonts w:ascii="Times New Roman" w:hAnsi="Times New Roman" w:cs="Times New Roman"/>
                <w:color w:val="000000" w:themeColor="text1"/>
                <w:sz w:val="24"/>
                <w:szCs w:val="24"/>
              </w:rPr>
              <w:t xml:space="preserve"> Правительства Ивановской области от 23.03.2016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65-п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О формировании, предоставлении и распределении субсидий из областного бюджета бюджетам муниципальных образований Ивановской области</w:t>
            </w:r>
            <w:r>
              <w:rPr>
                <w:rFonts w:ascii="Times New Roman" w:hAnsi="Times New Roman" w:cs="Times New Roman"/>
                <w:color w:val="000000" w:themeColor="text1"/>
                <w:sz w:val="24"/>
                <w:szCs w:val="24"/>
              </w:rPr>
              <w:t>»</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P2.10 = </w:t>
            </w:r>
            <w:proofErr w:type="spellStart"/>
            <w:r w:rsidRPr="003B5F75">
              <w:rPr>
                <w:rFonts w:ascii="Times New Roman" w:hAnsi="Times New Roman" w:cs="Times New Roman"/>
                <w:color w:val="000000" w:themeColor="text1"/>
                <w:sz w:val="24"/>
                <w:szCs w:val="24"/>
              </w:rPr>
              <w:t>МБТп</w:t>
            </w:r>
            <w:proofErr w:type="spellEnd"/>
            <w:r w:rsidRPr="003B5F75">
              <w:rPr>
                <w:rFonts w:ascii="Times New Roman" w:hAnsi="Times New Roman" w:cs="Times New Roman"/>
                <w:color w:val="000000" w:themeColor="text1"/>
                <w:sz w:val="24"/>
                <w:szCs w:val="24"/>
              </w:rPr>
              <w:t xml:space="preserve"> / МБТ x 100,</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МБТп</w:t>
            </w:r>
            <w:proofErr w:type="spellEnd"/>
            <w:r w:rsidRPr="003B5F75">
              <w:rPr>
                <w:rFonts w:ascii="Times New Roman" w:hAnsi="Times New Roman" w:cs="Times New Roman"/>
                <w:color w:val="000000" w:themeColor="text1"/>
                <w:sz w:val="24"/>
                <w:szCs w:val="24"/>
              </w:rPr>
              <w:t xml:space="preserve"> - количество субсидий, предусмотренных ГАБС для предоставления бюджетам муниципальных образований Ивановской области, соглашения о предоставлении которых заключены в сроки, установленные </w:t>
            </w:r>
            <w:hyperlink r:id="rId15">
              <w:r w:rsidRPr="003B5F75">
                <w:rPr>
                  <w:rFonts w:ascii="Times New Roman" w:hAnsi="Times New Roman" w:cs="Times New Roman"/>
                  <w:color w:val="000000" w:themeColor="text1"/>
                  <w:sz w:val="24"/>
                  <w:szCs w:val="24"/>
                </w:rPr>
                <w:t>постановлением</w:t>
              </w:r>
            </w:hyperlink>
            <w:r w:rsidRPr="003B5F75">
              <w:rPr>
                <w:rFonts w:ascii="Times New Roman" w:hAnsi="Times New Roman" w:cs="Times New Roman"/>
                <w:color w:val="000000" w:themeColor="text1"/>
                <w:sz w:val="24"/>
                <w:szCs w:val="24"/>
              </w:rPr>
              <w:t xml:space="preserve"> Правительства Ивановской области от 23.03.2016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65-п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О формировании, предоставлении и распределении субсидий из областного бюджета бюджетам муниципальных образований Ивановской области</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МБТ - общее количество субсидий, предусмотренных ГАБС для предоставления бюджетам муниципальных образований Ивановской области</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xml:space="preserve"> 100%. Оцениваются ГАБС, которым законом об областном бюджете предусмотрены в отчетном финансовом году субсидии для предоставления бюджетам муниципальных образований Ивановской области</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P2.10 =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P2.10 &lt;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2.11</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Доля объема субсидий, предусмотренных для предоставления ГАБС бюджетам муниципальных образований </w:t>
            </w:r>
            <w:r w:rsidRPr="003B5F75">
              <w:rPr>
                <w:rFonts w:ascii="Times New Roman" w:hAnsi="Times New Roman" w:cs="Times New Roman"/>
                <w:color w:val="000000" w:themeColor="text1"/>
                <w:sz w:val="24"/>
                <w:szCs w:val="24"/>
              </w:rPr>
              <w:lastRenderedPageBreak/>
              <w:t>Ивановской области в отчетном финансовом году, распределенных законом об областном бюджете в первоначальной редакции, в общем объеме субсидий, предусмотренных ГАБС для предоставления бюджетам муниципальных образований Ивановской области в отчетном финансовом году, утвержденных законом об областном бюджете (в первоначальной редакции)</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P2.11 = МБТГАБС / </w:t>
            </w:r>
            <w:proofErr w:type="spellStart"/>
            <w:r w:rsidRPr="003B5F75">
              <w:rPr>
                <w:rFonts w:ascii="Times New Roman" w:hAnsi="Times New Roman" w:cs="Times New Roman"/>
                <w:color w:val="000000" w:themeColor="text1"/>
                <w:sz w:val="24"/>
                <w:szCs w:val="24"/>
              </w:rPr>
              <w:t>Vсубс</w:t>
            </w:r>
            <w:proofErr w:type="spellEnd"/>
            <w:r w:rsidRPr="003B5F75">
              <w:rPr>
                <w:rFonts w:ascii="Times New Roman" w:hAnsi="Times New Roman" w:cs="Times New Roman"/>
                <w:color w:val="000000" w:themeColor="text1"/>
                <w:sz w:val="24"/>
                <w:szCs w:val="24"/>
              </w:rPr>
              <w:t xml:space="preserve"> x 100,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МБТГАБС - объем субсидий, предусмотренных ГАБС для </w:t>
            </w:r>
            <w:r w:rsidRPr="003B5F75">
              <w:rPr>
                <w:rFonts w:ascii="Times New Roman" w:hAnsi="Times New Roman" w:cs="Times New Roman"/>
                <w:color w:val="000000" w:themeColor="text1"/>
                <w:sz w:val="24"/>
                <w:szCs w:val="24"/>
              </w:rPr>
              <w:lastRenderedPageBreak/>
              <w:t>предоставления бюджетам муниципальных образований Ивановской области в отчетном финансовом году, распределение которых утверждено законом об областном бюджете (в первоначальной редакции);</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Vсубс</w:t>
            </w:r>
            <w:proofErr w:type="spellEnd"/>
            <w:r w:rsidRPr="003B5F75">
              <w:rPr>
                <w:rFonts w:ascii="Times New Roman" w:hAnsi="Times New Roman" w:cs="Times New Roman"/>
                <w:color w:val="000000" w:themeColor="text1"/>
                <w:sz w:val="24"/>
                <w:szCs w:val="24"/>
              </w:rPr>
              <w:t xml:space="preserve"> - общий объем субсидий, предусмотренных ГАБС для предоставления бюджетам муниципальных образований Ивановской области в отчетном финансовом году, утвержденных законом об областном бюджете (в первоначальной редакции)</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xml:space="preserve"> 100%</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P2.11 =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80 &lt;= P2.11 &lt;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P2.11 &lt; 80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2.12</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Количество случаев </w:t>
            </w:r>
            <w:proofErr w:type="spellStart"/>
            <w:r w:rsidRPr="003B5F75">
              <w:rPr>
                <w:rFonts w:ascii="Times New Roman" w:hAnsi="Times New Roman" w:cs="Times New Roman"/>
                <w:color w:val="000000" w:themeColor="text1"/>
                <w:sz w:val="24"/>
                <w:szCs w:val="24"/>
              </w:rPr>
              <w:t>недоведения</w:t>
            </w:r>
            <w:proofErr w:type="spellEnd"/>
            <w:r w:rsidRPr="003B5F75">
              <w:rPr>
                <w:rFonts w:ascii="Times New Roman" w:hAnsi="Times New Roman" w:cs="Times New Roman"/>
                <w:color w:val="000000" w:themeColor="text1"/>
                <w:sz w:val="24"/>
                <w:szCs w:val="24"/>
              </w:rPr>
              <w:t xml:space="preserve"> в соответствии с законом об областном бюджете (законом о внесении изменений в закон об областном бюджете) лимитов бюджетных обязательств до ГАБС по расходам на предоставление из областного бюджета субсидий бюджетам муниципальных образований Ивановской области, иным </w:t>
            </w:r>
            <w:r w:rsidRPr="003B5F75">
              <w:rPr>
                <w:rFonts w:ascii="Times New Roman" w:hAnsi="Times New Roman" w:cs="Times New Roman"/>
                <w:color w:val="000000" w:themeColor="text1"/>
                <w:sz w:val="24"/>
                <w:szCs w:val="24"/>
              </w:rPr>
              <w:lastRenderedPageBreak/>
              <w:t>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товаров, работ, услуг в связи с отсутствием порядков предоставления указанных субсидий, утвержденных Правительством Ивановской области</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P2.12 = Количество случаев </w:t>
            </w:r>
            <w:proofErr w:type="spellStart"/>
            <w:r w:rsidRPr="003B5F75">
              <w:rPr>
                <w:rFonts w:ascii="Times New Roman" w:hAnsi="Times New Roman" w:cs="Times New Roman"/>
                <w:color w:val="000000" w:themeColor="text1"/>
                <w:sz w:val="24"/>
                <w:szCs w:val="24"/>
              </w:rPr>
              <w:t>недоведения</w:t>
            </w:r>
            <w:proofErr w:type="spellEnd"/>
            <w:r w:rsidRPr="003B5F75">
              <w:rPr>
                <w:rFonts w:ascii="Times New Roman" w:hAnsi="Times New Roman" w:cs="Times New Roman"/>
                <w:color w:val="000000" w:themeColor="text1"/>
                <w:sz w:val="24"/>
                <w:szCs w:val="24"/>
              </w:rPr>
              <w:t xml:space="preserve"> в соответствии с законом об областном бюджете (законом о внесении изменений в закон об областном бюджете) лимитов бюджетных обязательств до ГАБС по расходам на предоставление из областного бюджета субсидий бюджетам муниципальных образований Ивановской области, иным </w:t>
            </w:r>
            <w:r w:rsidRPr="003B5F75">
              <w:rPr>
                <w:rFonts w:ascii="Times New Roman" w:hAnsi="Times New Roman" w:cs="Times New Roman"/>
                <w:color w:val="000000" w:themeColor="text1"/>
                <w:sz w:val="24"/>
                <w:szCs w:val="24"/>
              </w:rPr>
              <w:lastRenderedPageBreak/>
              <w:t>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товаров, работ, услуг в связи с отсутствием порядков предоставления указанных субсидий, утвержденных Правительством Ивановской области</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Единица</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Ориентиром для ГАБС является отсутствие случаев </w:t>
            </w:r>
            <w:proofErr w:type="spellStart"/>
            <w:r w:rsidRPr="003B5F75">
              <w:rPr>
                <w:rFonts w:ascii="Times New Roman" w:hAnsi="Times New Roman" w:cs="Times New Roman"/>
                <w:color w:val="000000" w:themeColor="text1"/>
                <w:sz w:val="24"/>
                <w:szCs w:val="24"/>
              </w:rPr>
              <w:t>недоведения</w:t>
            </w:r>
            <w:proofErr w:type="spellEnd"/>
            <w:r w:rsidRPr="003B5F75">
              <w:rPr>
                <w:rFonts w:ascii="Times New Roman" w:hAnsi="Times New Roman" w:cs="Times New Roman"/>
                <w:color w:val="000000" w:themeColor="text1"/>
                <w:sz w:val="24"/>
                <w:szCs w:val="24"/>
              </w:rPr>
              <w:t xml:space="preserve"> лимитов бюджетных обязательств до ГАБС</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P2.12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P2.12 &gt;= 1</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2.13</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Равномерность расходов ГАБС</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P2.13 = (К4кв / </w:t>
            </w:r>
            <w:proofErr w:type="spellStart"/>
            <w:r w:rsidRPr="003B5F75">
              <w:rPr>
                <w:rFonts w:ascii="Times New Roman" w:hAnsi="Times New Roman" w:cs="Times New Roman"/>
                <w:color w:val="000000" w:themeColor="text1"/>
                <w:sz w:val="24"/>
                <w:szCs w:val="24"/>
              </w:rPr>
              <w:t>Кгод</w:t>
            </w:r>
            <w:proofErr w:type="spellEnd"/>
            <w:r w:rsidRPr="003B5F75">
              <w:rPr>
                <w:rFonts w:ascii="Times New Roman" w:hAnsi="Times New Roman" w:cs="Times New Roman"/>
                <w:color w:val="000000" w:themeColor="text1"/>
                <w:sz w:val="24"/>
                <w:szCs w:val="24"/>
              </w:rPr>
              <w:t>) x 100,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К4кв - объем расходов ГАБС в 4 квартале отчетного финансового года (за исключением расходов, осуществляемых за счет межбюджетных трансфертов, поступающих из других бюджетов бюджетной системы, и расходов на предоставление из областного бюджета дотаций на поддержку мер по обеспечению сбалансированности местных бюджетов, иных дотаций местным бюджетам);</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Кгод</w:t>
            </w:r>
            <w:proofErr w:type="spellEnd"/>
            <w:r w:rsidRPr="003B5F75">
              <w:rPr>
                <w:rFonts w:ascii="Times New Roman" w:hAnsi="Times New Roman" w:cs="Times New Roman"/>
                <w:color w:val="000000" w:themeColor="text1"/>
                <w:sz w:val="24"/>
                <w:szCs w:val="24"/>
              </w:rPr>
              <w:t xml:space="preserve"> - объем расходов ГАБС за </w:t>
            </w:r>
            <w:r w:rsidRPr="003B5F75">
              <w:rPr>
                <w:rFonts w:ascii="Times New Roman" w:hAnsi="Times New Roman" w:cs="Times New Roman"/>
                <w:color w:val="000000" w:themeColor="text1"/>
                <w:sz w:val="24"/>
                <w:szCs w:val="24"/>
              </w:rPr>
              <w:lastRenderedPageBreak/>
              <w:t>отчетный финансовый год (за исключением расходов, осуществляемых за счет межбюджетных трансфертов, поступающих из других бюджетов, и расходов на предоставление из областного бюджета дотаций на поддержку мер по обеспечению сбалансированности местных бюджетов, иных дотаций местным бюджетам)</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Показатель характеризует равномерность расходов в течение финансового года. 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при котором объем расходов в 4 квартале достигает менее 25% годовых расходов</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P2.13 &lt;= 25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25 &lt; P2.13 &lt; 30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P2.13 &gt;= 30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2.14</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Объем не освоенных на конец отчетного финансового года бюджетных ассигнований</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P2.14 = (A - K) / A x 100,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A - объем бюджетных ассигнований ГАБС в отчетном финансовом году согласно сводной бюджетной росписи с учетом внесенных в нее изменений (за исключением зарезервированных средств и расходов, осуществляемых за счет межбюджетных трансфертов, поступающих из федерального бюджета, по которым лимиты бюджетных обязательств доведены на лицевые счета по </w:t>
            </w:r>
            <w:r w:rsidRPr="003B5F75">
              <w:rPr>
                <w:rFonts w:ascii="Times New Roman" w:hAnsi="Times New Roman" w:cs="Times New Roman"/>
                <w:color w:val="000000" w:themeColor="text1"/>
                <w:sz w:val="24"/>
                <w:szCs w:val="24"/>
              </w:rPr>
              <w:lastRenderedPageBreak/>
              <w:t>переданным полномочиям получателя средств федерального бюджета после 1 декабря отчетного финансового года);</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K - объем расходов ГАБС, произведенных за отчетный финансовый год (за исключением расходов, осуществляемых за счет межбюджетных трансфертов, поступающих из федерального бюджета, по которым лимиты бюджетных обязательств доведены на лицевые счета по переданным полномочиям получателя средств федерального бюджета после 1 декабря отчетного финансового года)</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Показатель характеризует уровень </w:t>
            </w:r>
            <w:proofErr w:type="spellStart"/>
            <w:r w:rsidRPr="003B5F75">
              <w:rPr>
                <w:rFonts w:ascii="Times New Roman" w:hAnsi="Times New Roman" w:cs="Times New Roman"/>
                <w:color w:val="000000" w:themeColor="text1"/>
                <w:sz w:val="24"/>
                <w:szCs w:val="24"/>
              </w:rPr>
              <w:t>неосвоения</w:t>
            </w:r>
            <w:proofErr w:type="spellEnd"/>
            <w:r w:rsidRPr="003B5F75">
              <w:rPr>
                <w:rFonts w:ascii="Times New Roman" w:hAnsi="Times New Roman" w:cs="Times New Roman"/>
                <w:color w:val="000000" w:themeColor="text1"/>
                <w:sz w:val="24"/>
                <w:szCs w:val="24"/>
              </w:rPr>
              <w:t xml:space="preserve"> бюджетных ассигнований в отчетном финансовом году. Ориентиром для ГАБС является полное освоение бюджетных ассигнований</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P2.14 &lt;= 1</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 &lt; P2.14 &lt;= 3</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P2.14 &gt; 3</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2.15</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Организация мониторинга заработной платы в государственных учреждениях, подведомственных ГАБС, по основному, административно-управленческому и вспомогательному персоналу</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P2.15 = Осуществление мониторинга в соответствии с правовым актом ГАБС об организации мониторинга заработной платы в подведомственных государственных учреждениях</w:t>
            </w:r>
          </w:p>
        </w:tc>
        <w:tc>
          <w:tcPr>
            <w:tcW w:w="1417" w:type="dxa"/>
            <w:vMerge w:val="restart"/>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В рамках оценки данного показателя положительно оценивается факт организации мониторинга заработной платы в подведомственных государственных учреждениях</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P2.15 = Мониторинг проведен</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P2.15 = Мониторинг не проведен</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2.16</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Проведение в течение отчетного финансового года мониторинга значений целевых показателей оказания государственных услуг (выполнения работ), закрепленных в государственных заданиях на оказание государственных услуг (выполнение работ) государственными учреждениями, подведомственными ГАБС</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P2.16 = Проведение мониторинга значений целевых показателей оказания государственных услуг (выполнения работ), закрепленных в государственных заданиях на оказание государственных услуг (выполнение работ) государственными учреждениями, подведомственными ГАБС, в соответствии с правовым актом ГАБС о проведении данного мониторинга</w:t>
            </w:r>
          </w:p>
        </w:tc>
        <w:tc>
          <w:tcPr>
            <w:tcW w:w="1417" w:type="dxa"/>
            <w:vMerge w:val="restart"/>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В рамках оценки данного показателя положительно оценивается факт проведения мониторинга значений целевых показателей оказания государственных услуг (выполнения работ), закрепленных в государственных заданиях</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P2.16 = Мониторинг проведен</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P2.16 = Мониторинг не проведен</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2.17</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Перечень услуг (работ), оказываемых (предоставляемых) подведомственными ГАБС государственными учреждениями за плату</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P2.17 = Наличие перечня услуг (работ), оказываемых (предоставляемых) подведомственными ГАБС государственными учреждениями за плату</w:t>
            </w:r>
          </w:p>
        </w:tc>
        <w:tc>
          <w:tcPr>
            <w:tcW w:w="1417" w:type="dxa"/>
            <w:vMerge w:val="restart"/>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В рамках оценки данного показателя оценивается сам факт наличия перечня услуг (работ), оказываемых (предоставляемых) подведомственными ГАБС государственными учреждениями за плату</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P2.17 = Наличие перечня</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P2.17 = Отсутствие перечня</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2.18</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Эффективность управления кредиторской задолженностью</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P2.18 = К / Е x 100,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P2.18 - удельный вес кредиторской задолженности в кассовых </w:t>
            </w:r>
            <w:r w:rsidRPr="003B5F75">
              <w:rPr>
                <w:rFonts w:ascii="Times New Roman" w:hAnsi="Times New Roman" w:cs="Times New Roman"/>
                <w:color w:val="000000" w:themeColor="text1"/>
                <w:sz w:val="24"/>
                <w:szCs w:val="24"/>
              </w:rPr>
              <w:lastRenderedPageBreak/>
              <w:t>расходах ГАБС в отчетном финансовом году;</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 - объем кредиторской задолженности по расчетам в отчетном финансовом году по состоянию на 1 января года, следующего за отчетным;</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Е - кассовое исполнение расходов ГАБС в отчетном финансовом году (за исключением межбюджетных трансфертов)</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Отрицательно оценивается факт наличия кредиторской задолженности по расчетам в </w:t>
            </w:r>
            <w:r w:rsidRPr="003B5F75">
              <w:rPr>
                <w:rFonts w:ascii="Times New Roman" w:hAnsi="Times New Roman" w:cs="Times New Roman"/>
                <w:color w:val="000000" w:themeColor="text1"/>
                <w:sz w:val="24"/>
                <w:szCs w:val="24"/>
              </w:rPr>
              <w:lastRenderedPageBreak/>
              <w:t>отчетном финансовом году по состоянию на 1 января года, следующего за отчетным, по отношению к кассовому исполнению расходов ГАБС в отчетном финансовом году (за исключением межбюджетных трансфертов)</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P2.18 &lt;= 0,3</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0,3 &lt; P2.18 &lt;= 0,5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P2.18 &gt; 0,5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2.19</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Удельный вес государственных учреждений, выполнивших государственное задание на 100%, в общем количестве государственных учреждений, подведомственных ГАБС, которым установлены государственные задания</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P2.19 = </w:t>
            </w:r>
            <w:r>
              <w:rPr>
                <w:rFonts w:ascii="Times New Roman" w:hAnsi="Times New Roman" w:cs="Times New Roman"/>
                <w:color w:val="000000" w:themeColor="text1"/>
                <w:sz w:val="24"/>
                <w:szCs w:val="24"/>
              </w:rPr>
              <w:t>№</w:t>
            </w:r>
            <w:proofErr w:type="spellStart"/>
            <w:r w:rsidRPr="003B5F75">
              <w:rPr>
                <w:rFonts w:ascii="Times New Roman" w:hAnsi="Times New Roman" w:cs="Times New Roman"/>
                <w:color w:val="000000" w:themeColor="text1"/>
                <w:sz w:val="24"/>
                <w:szCs w:val="24"/>
              </w:rPr>
              <w:t>гз</w:t>
            </w:r>
            <w:proofErr w:type="spellEnd"/>
            <w:r w:rsidRPr="003B5F75">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x 100, где:</w:t>
            </w:r>
          </w:p>
          <w:p w:rsidR="003B5F75" w:rsidRPr="003B5F75" w:rsidRDefault="003B5F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Pr="003B5F75">
              <w:rPr>
                <w:rFonts w:ascii="Times New Roman" w:hAnsi="Times New Roman" w:cs="Times New Roman"/>
                <w:color w:val="000000" w:themeColor="text1"/>
                <w:sz w:val="24"/>
                <w:szCs w:val="24"/>
              </w:rPr>
              <w:t>гз</w:t>
            </w:r>
            <w:proofErr w:type="spellEnd"/>
            <w:r w:rsidRPr="003B5F75">
              <w:rPr>
                <w:rFonts w:ascii="Times New Roman" w:hAnsi="Times New Roman" w:cs="Times New Roman"/>
                <w:color w:val="000000" w:themeColor="text1"/>
                <w:sz w:val="24"/>
                <w:szCs w:val="24"/>
              </w:rPr>
              <w:t xml:space="preserve"> - количество государственных учреждений, выполнивших государственное задание на 100% в отчетном финансовом году;</w:t>
            </w:r>
          </w:p>
          <w:p w:rsidR="003B5F75" w:rsidRPr="003B5F75" w:rsidRDefault="003B5F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 общее количество государственных учреждений, которым установлены государственные задания в отчетном финансовом году</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Ориентиром для ГАБС является выполнение государственного задания на 100% всеми подведомственными ГАБС государственными учреждениями (в разрезе государственных услуг (работ)), которым установлены государственные задания</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P2.19 =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100 &gt; P2.19 &gt;= 90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90 &gt; P2.19 &gt;= 80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80 &gt; P2.19 &gt;= 50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50 &gt; P2.19 &gt;=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2.20</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Количество нарушений ГАБС сроков предоставления сведений, необходимых для составления и ведения кассового плана исполнения областного бюджета</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P2.20 - количество нарушений ГАБС сроков предоставления сведений, необходимых для составления и ведения кассового плана исполнения областного бюджета</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Единица</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Показатель характеризует своевременность предоставления ГАБС сведений, необходимых для составления и ведения кассового плана исполнения областного бюджета. 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равное 0</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P2.20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P2.20 = 1</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P2.20 = 2</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P2.20 &gt; 2</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2.21</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Удельный вес государственных учреждений в общем количестве государственных учреждений, подведомственных ГАБС, в которых оплата труда руководителей определяется с учетом результатов достижения ими ключевых показателей эффективности деятельности</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P2.21 = </w:t>
            </w:r>
            <w:r>
              <w:rPr>
                <w:rFonts w:ascii="Times New Roman" w:hAnsi="Times New Roman" w:cs="Times New Roman"/>
                <w:color w:val="000000" w:themeColor="text1"/>
                <w:sz w:val="24"/>
                <w:szCs w:val="24"/>
              </w:rPr>
              <w:t>№</w:t>
            </w:r>
            <w:proofErr w:type="spellStart"/>
            <w:r w:rsidRPr="003B5F75">
              <w:rPr>
                <w:rFonts w:ascii="Times New Roman" w:hAnsi="Times New Roman" w:cs="Times New Roman"/>
                <w:color w:val="000000" w:themeColor="text1"/>
                <w:sz w:val="24"/>
                <w:szCs w:val="24"/>
              </w:rPr>
              <w:t>rs</w:t>
            </w:r>
            <w:proofErr w:type="spellEnd"/>
            <w:r w:rsidRPr="003B5F75">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x 100, где:</w:t>
            </w:r>
          </w:p>
          <w:p w:rsidR="003B5F75" w:rsidRPr="003B5F75" w:rsidRDefault="003B5F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Pr="003B5F75">
              <w:rPr>
                <w:rFonts w:ascii="Times New Roman" w:hAnsi="Times New Roman" w:cs="Times New Roman"/>
                <w:color w:val="000000" w:themeColor="text1"/>
                <w:sz w:val="24"/>
                <w:szCs w:val="24"/>
              </w:rPr>
              <w:t>rs</w:t>
            </w:r>
            <w:proofErr w:type="spellEnd"/>
            <w:r w:rsidRPr="003B5F75">
              <w:rPr>
                <w:rFonts w:ascii="Times New Roman" w:hAnsi="Times New Roman" w:cs="Times New Roman"/>
                <w:color w:val="000000" w:themeColor="text1"/>
                <w:sz w:val="24"/>
                <w:szCs w:val="24"/>
              </w:rPr>
              <w:t xml:space="preserve"> - количество государственных учреждений, в которых оплата труда руководителей определяется с учетом результатов достижения ими ключевых показателей эффективности деятельности;</w:t>
            </w:r>
          </w:p>
          <w:p w:rsidR="003B5F75" w:rsidRPr="003B5F75" w:rsidRDefault="003B5F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 общее количество государственных учреждений, подведомственных ГАБС</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Ориентиром для ГАБС является осуществление оплаты труда руководителей всех подведомственных учреждений с учетом результатов достижения ими ключевых показателей эффективности деятельности</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P2.21 =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100 &gt; P2.21 &gt;= 90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90 &gt; P2.21 &gt;=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2.22</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Доля объема взысканных в отчетном финансовом году средств из областного бюджета в связи с выявлением фактов нарушения ГАБС условий предоставления (расходования) и (или) нецелевого использования межбюджетных трансфертов из федерального бюджета в общем объеме указанных трансфертов</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P2.22 = А / П x 100,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А - объем взысканных в отчетном финансовом году средств из областного бюджета по решению Министерства финансов Российской Федерации в связи с применением бюджетных мер принуждения в отношении ГАБС при выявлении фактов нарушения условий предоставления (расходования) и (или) нецелевого использования межбюджетных трансфертов из федерального бюджета за отчетный финансовый год;</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 - общий объем межбюджетных трансфертов, предоставленных из федерального бюджета бюджету Ивановской области в отчетном финансовом году, в отношении которых выявлены факты нарушения ГАБС условий предоставления (расходования) и (или) нецелевого использования</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Ориентиром для ГАБС является отсутствие случаев взыскания средств из областного бюджета в связи с выявлением фактов нарушения условий предоставления (расходования) и (или) нецелевого использования межбюджетных трансфертов из федерального бюджета</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P2.22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 &lt; P2.22 &lt;= 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P2.22 &gt; 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2.23</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Достижение целевых значений показателей результативности </w:t>
            </w:r>
            <w:r w:rsidRPr="003B5F75">
              <w:rPr>
                <w:rFonts w:ascii="Times New Roman" w:hAnsi="Times New Roman" w:cs="Times New Roman"/>
                <w:color w:val="000000" w:themeColor="text1"/>
                <w:sz w:val="24"/>
                <w:szCs w:val="24"/>
              </w:rPr>
              <w:lastRenderedPageBreak/>
              <w:t>использования субсидий, предоставленных из федерального бюджета бюджету Ивановской области</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P2.23 = </w:t>
            </w:r>
            <w:proofErr w:type="spellStart"/>
            <w:r w:rsidRPr="003B5F75">
              <w:rPr>
                <w:rFonts w:ascii="Times New Roman" w:hAnsi="Times New Roman" w:cs="Times New Roman"/>
                <w:color w:val="000000" w:themeColor="text1"/>
                <w:sz w:val="24"/>
                <w:szCs w:val="24"/>
              </w:rPr>
              <w:t>П</w:t>
            </w:r>
            <w:r w:rsidRPr="003B5F75">
              <w:rPr>
                <w:rFonts w:ascii="Times New Roman" w:hAnsi="Times New Roman" w:cs="Times New Roman"/>
                <w:color w:val="000000" w:themeColor="text1"/>
                <w:sz w:val="24"/>
                <w:szCs w:val="24"/>
                <w:vertAlign w:val="subscript"/>
              </w:rPr>
              <w:t>д</w:t>
            </w:r>
            <w:proofErr w:type="spellEnd"/>
            <w:r w:rsidRPr="003B5F75">
              <w:rPr>
                <w:rFonts w:ascii="Times New Roman" w:hAnsi="Times New Roman" w:cs="Times New Roman"/>
                <w:color w:val="000000" w:themeColor="text1"/>
                <w:sz w:val="24"/>
                <w:szCs w:val="24"/>
              </w:rPr>
              <w:t xml:space="preserve"> / П x 100,</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lastRenderedPageBreak/>
              <w:t>П</w:t>
            </w:r>
            <w:r w:rsidRPr="003B5F75">
              <w:rPr>
                <w:rFonts w:ascii="Times New Roman" w:hAnsi="Times New Roman" w:cs="Times New Roman"/>
                <w:color w:val="000000" w:themeColor="text1"/>
                <w:sz w:val="24"/>
                <w:szCs w:val="24"/>
                <w:vertAlign w:val="subscript"/>
              </w:rPr>
              <w:t>д</w:t>
            </w:r>
            <w:proofErr w:type="spellEnd"/>
            <w:r w:rsidRPr="003B5F75">
              <w:rPr>
                <w:rFonts w:ascii="Times New Roman" w:hAnsi="Times New Roman" w:cs="Times New Roman"/>
                <w:color w:val="000000" w:themeColor="text1"/>
                <w:sz w:val="24"/>
                <w:szCs w:val="24"/>
              </w:rPr>
              <w:t xml:space="preserve"> - количество показателей результативности, по которым ГАБС достигнуты целевые значения показателей результативности использования субсидий, предоставленных из федерального бюджета;</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 - общее количество целевых значений показателей результативности использования субсидий, предоставленных из федерального бюджета</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Оцениваются ГАБС, являющиеся главными </w:t>
            </w:r>
            <w:r w:rsidRPr="003B5F75">
              <w:rPr>
                <w:rFonts w:ascii="Times New Roman" w:hAnsi="Times New Roman" w:cs="Times New Roman"/>
                <w:color w:val="000000" w:themeColor="text1"/>
                <w:sz w:val="24"/>
                <w:szCs w:val="24"/>
              </w:rPr>
              <w:lastRenderedPageBreak/>
              <w:t>распорядителями бюджетных средств по расходам, осуществляемым за счет субсидий из федерального бюджета. Ориентиром для ГАБС является достижение всех показателей результативности использования субсидий, предоставленных из федерального бюджета бюджету Ивановской области</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P2.23 =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P2.23 &lt;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2.24</w:t>
            </w:r>
          </w:p>
        </w:tc>
        <w:tc>
          <w:tcPr>
            <w:tcW w:w="3562"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Полнота и своевременность размещения информации подведомственными ГАБС государственными учреждениями 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в том числе государственных заданий на оказание государственных услуг, планов финансово-хозяйственной деятельности &lt;*&gt;, показателей бюджетных смет, </w:t>
            </w:r>
            <w:r w:rsidRPr="003B5F75">
              <w:rPr>
                <w:rFonts w:ascii="Times New Roman" w:hAnsi="Times New Roman" w:cs="Times New Roman"/>
                <w:color w:val="000000" w:themeColor="text1"/>
                <w:sz w:val="24"/>
                <w:szCs w:val="24"/>
              </w:rPr>
              <w:lastRenderedPageBreak/>
              <w:t>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&lt;*&gt;</w:t>
            </w:r>
          </w:p>
        </w:tc>
        <w:tc>
          <w:tcPr>
            <w:tcW w:w="209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0,04</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P2.24 =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у /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x 100, где:</w:t>
            </w:r>
          </w:p>
          <w:p w:rsidR="003B5F75" w:rsidRPr="003B5F75" w:rsidRDefault="003B5F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у - количество подведомственных ГАБС государственных учреждений, разместивших информацию своевременно и в полном объеме на официальном сайте;</w:t>
            </w:r>
          </w:p>
          <w:p w:rsidR="003B5F75" w:rsidRPr="003B5F75" w:rsidRDefault="003B5F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 общее количество подведомственных ГАБС государственных учреждений</w:t>
            </w:r>
          </w:p>
        </w:tc>
        <w:tc>
          <w:tcPr>
            <w:tcW w:w="1417"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Ориентиром для ГАБС является размещение информации в полном объеме 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в том числе государственных заданий на оказание государственных услуг, планов финансово-хозяйственной деятельности, </w:t>
            </w:r>
            <w:r w:rsidRPr="003B5F75">
              <w:rPr>
                <w:rFonts w:ascii="Times New Roman" w:hAnsi="Times New Roman" w:cs="Times New Roman"/>
                <w:color w:val="000000" w:themeColor="text1"/>
                <w:sz w:val="24"/>
                <w:szCs w:val="24"/>
              </w:rPr>
              <w:lastRenderedPageBreak/>
              <w:t xml:space="preserve">показателей бюджетных смет, 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в сроки, установленные </w:t>
            </w:r>
            <w:hyperlink r:id="rId16">
              <w:r w:rsidRPr="003B5F75">
                <w:rPr>
                  <w:rFonts w:ascii="Times New Roman" w:hAnsi="Times New Roman" w:cs="Times New Roman"/>
                  <w:color w:val="000000" w:themeColor="text1"/>
                  <w:sz w:val="24"/>
                  <w:szCs w:val="24"/>
                </w:rPr>
                <w:t>Приказом</w:t>
              </w:r>
            </w:hyperlink>
            <w:r w:rsidRPr="003B5F75">
              <w:rPr>
                <w:rFonts w:ascii="Times New Roman" w:hAnsi="Times New Roman" w:cs="Times New Roman"/>
                <w:color w:val="000000" w:themeColor="text1"/>
                <w:sz w:val="24"/>
                <w:szCs w:val="24"/>
              </w:rPr>
              <w:t xml:space="preserve"> Министерства финансов Российской Федерации от 21.07.2011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86н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ascii="Times New Roman" w:hAnsi="Times New Roman" w:cs="Times New Roman"/>
                <w:color w:val="000000" w:themeColor="text1"/>
                <w:sz w:val="24"/>
                <w:szCs w:val="24"/>
              </w:rPr>
              <w:t>»</w:t>
            </w: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P2.24 = 100</w:t>
            </w:r>
          </w:p>
        </w:tc>
        <w:tc>
          <w:tcPr>
            <w:tcW w:w="1417" w:type="dxa"/>
            <w:vMerge w:val="restart"/>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80 &lt;= P2.24 &lt;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P2.24 &lt; 80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2.25</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Доля фактического участия ГАБС в судебных заседаниях в </w:t>
            </w:r>
            <w:r w:rsidRPr="003B5F75">
              <w:rPr>
                <w:rFonts w:ascii="Times New Roman" w:hAnsi="Times New Roman" w:cs="Times New Roman"/>
                <w:color w:val="000000" w:themeColor="text1"/>
                <w:sz w:val="24"/>
                <w:szCs w:val="24"/>
              </w:rPr>
              <w:lastRenderedPageBreak/>
              <w:t>общем количестве заседаний, назначенных судом</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P2.25 = Ф / Опр. x 100,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Ф - количество судебных </w:t>
            </w:r>
            <w:r w:rsidRPr="003B5F75">
              <w:rPr>
                <w:rFonts w:ascii="Times New Roman" w:hAnsi="Times New Roman" w:cs="Times New Roman"/>
                <w:color w:val="000000" w:themeColor="text1"/>
                <w:sz w:val="24"/>
                <w:szCs w:val="24"/>
              </w:rPr>
              <w:lastRenderedPageBreak/>
              <w:t>заседаний, в которых представитель ГАБС принял фактическое участие (при этом в данной переменной учитываются направленные ходатайства о рассмотрении дела в отсутствие представителя ГАБС);</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Опр. - общее количество судебных заседаний, назначенных судом</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Оцениваются ГАБС, являвшиеся в отчетном </w:t>
            </w:r>
            <w:r w:rsidRPr="003B5F75">
              <w:rPr>
                <w:rFonts w:ascii="Times New Roman" w:hAnsi="Times New Roman" w:cs="Times New Roman"/>
                <w:color w:val="000000" w:themeColor="text1"/>
                <w:sz w:val="24"/>
                <w:szCs w:val="24"/>
              </w:rPr>
              <w:lastRenderedPageBreak/>
              <w:t xml:space="preserve">финансовом году представителями ответчика по искам к Ивановской области. 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xml:space="preserve"> 100%</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P2.25 =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80 &lt;= P2.25 &lt;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50 &lt;= P2.25 &lt; 80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30 &lt;= P2.25 &lt; 50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P2.25 &lt; 30, а также в случае непредставления ГАБС информации, указанной в </w:t>
            </w:r>
            <w:hyperlink w:anchor="P868">
              <w:r w:rsidRPr="003B5F75">
                <w:rPr>
                  <w:rFonts w:ascii="Times New Roman" w:hAnsi="Times New Roman" w:cs="Times New Roman"/>
                  <w:color w:val="000000" w:themeColor="text1"/>
                  <w:sz w:val="24"/>
                  <w:szCs w:val="24"/>
                </w:rPr>
                <w:t>пункте 5</w:t>
              </w:r>
            </w:hyperlink>
            <w:r w:rsidRPr="003B5F75">
              <w:rPr>
                <w:rFonts w:ascii="Times New Roman" w:hAnsi="Times New Roman" w:cs="Times New Roman"/>
                <w:color w:val="000000" w:themeColor="text1"/>
                <w:sz w:val="24"/>
                <w:szCs w:val="24"/>
              </w:rPr>
              <w:t xml:space="preserve"> приложения 2 к Порядку проведения Департаментом финансов Ивановской области мониторинга качества финансового менеджмента</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2.26</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Доля фактического направления ГАБС в суд отзывов (возражений) на исковые заявления от количества принятых судом исковых заявлений и направленных заявителем в суд дополнений </w:t>
            </w:r>
            <w:r w:rsidRPr="003B5F75">
              <w:rPr>
                <w:rFonts w:ascii="Times New Roman" w:hAnsi="Times New Roman" w:cs="Times New Roman"/>
                <w:color w:val="000000" w:themeColor="text1"/>
                <w:sz w:val="24"/>
                <w:szCs w:val="24"/>
              </w:rPr>
              <w:lastRenderedPageBreak/>
              <w:t>(изменений)</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P2.26 = Ф / ИЗ x 100,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Ф - фактическое количество подготовленных отзывов (возражений) ГАБС;</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ИЗ - количество принятых судом исковых заявлений и направленных заявителем в суд </w:t>
            </w:r>
            <w:r w:rsidRPr="003B5F75">
              <w:rPr>
                <w:rFonts w:ascii="Times New Roman" w:hAnsi="Times New Roman" w:cs="Times New Roman"/>
                <w:color w:val="000000" w:themeColor="text1"/>
                <w:sz w:val="24"/>
                <w:szCs w:val="24"/>
              </w:rPr>
              <w:lastRenderedPageBreak/>
              <w:t>дополнений (изменений) к исковым требованиям к ГАБС по соответствующим делам</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Оцениваются ГАБС, являвшиеся в отчетном финансовом году представителями ответчика по искам к Ивановской области. Ориентиром для ГАБС является значение </w:t>
            </w:r>
            <w:r w:rsidRPr="003B5F75">
              <w:rPr>
                <w:rFonts w:ascii="Times New Roman" w:hAnsi="Times New Roman" w:cs="Times New Roman"/>
                <w:color w:val="000000" w:themeColor="text1"/>
                <w:sz w:val="24"/>
                <w:szCs w:val="24"/>
              </w:rPr>
              <w:lastRenderedPageBreak/>
              <w:t xml:space="preserve">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xml:space="preserve"> 100%</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P2.26 =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80 &lt;= P2.26 &lt; 100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50 &lt;= P2.26 &lt; 80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30 &lt;= P2.26 &lt; 50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P2.26 &lt; 30, а также в случае непредставления ГАБС информации, указанной в </w:t>
            </w:r>
            <w:hyperlink w:anchor="P879">
              <w:r w:rsidRPr="003B5F75">
                <w:rPr>
                  <w:rFonts w:ascii="Times New Roman" w:hAnsi="Times New Roman" w:cs="Times New Roman"/>
                  <w:color w:val="000000" w:themeColor="text1"/>
                  <w:sz w:val="24"/>
                  <w:szCs w:val="24"/>
                </w:rPr>
                <w:t>пункте 6</w:t>
              </w:r>
            </w:hyperlink>
            <w:r w:rsidRPr="003B5F75">
              <w:rPr>
                <w:rFonts w:ascii="Times New Roman" w:hAnsi="Times New Roman" w:cs="Times New Roman"/>
                <w:color w:val="000000" w:themeColor="text1"/>
                <w:sz w:val="24"/>
                <w:szCs w:val="24"/>
              </w:rPr>
              <w:t xml:space="preserve"> приложения 2 к Порядку проведения Департаментом финансов Ивановской области мониторинга качества финансового менеджмента</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2.27</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Доля суммы средств, выплаченных из областного бюджета на основании предъявленных в Департамент финансов Ивановской области исполнительных листов от суммы заявленных исковых требований об обращении взыскания на средства областного бюджета</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P2.27 = СВЗ / СВ x 100, где:</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СВЗ - сумма средств, взысканная судом и выплаченная из областного бюджета на основании исполнительного листа;</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СВ - сумма средств, заявленных в исковых требованиях (с учетом уточнений исковых требований) и судебных расходов</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Оцениваются ГАБС, участвующие в судебных заседаниях в качестве представителя ответчика по искам к Ивановской области, по итогам которых в отчетном финансовом году предъявлялись исполнительные листы. 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xml:space="preserve"> </w:t>
            </w:r>
            <w:r w:rsidRPr="003B5F75">
              <w:rPr>
                <w:rFonts w:ascii="Times New Roman" w:hAnsi="Times New Roman" w:cs="Times New Roman"/>
                <w:color w:val="000000" w:themeColor="text1"/>
                <w:sz w:val="24"/>
                <w:szCs w:val="24"/>
              </w:rPr>
              <w:lastRenderedPageBreak/>
              <w:t>менее 25%</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P2.27 &lt; 25%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25 &lt;= P2.27 &lt; 50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50 &lt;= P2.27 &lt; 75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75 &lt;= P2.27 &lt;= 100, а также в случае непредставления ГАБС информации, указанной в </w:t>
            </w:r>
            <w:hyperlink w:anchor="P888">
              <w:r w:rsidRPr="003B5F75">
                <w:rPr>
                  <w:rFonts w:ascii="Times New Roman" w:hAnsi="Times New Roman" w:cs="Times New Roman"/>
                  <w:color w:val="000000" w:themeColor="text1"/>
                  <w:sz w:val="24"/>
                  <w:szCs w:val="24"/>
                </w:rPr>
                <w:t>пункте 7</w:t>
              </w:r>
            </w:hyperlink>
            <w:r w:rsidRPr="003B5F75">
              <w:rPr>
                <w:rFonts w:ascii="Times New Roman" w:hAnsi="Times New Roman" w:cs="Times New Roman"/>
                <w:color w:val="000000" w:themeColor="text1"/>
                <w:sz w:val="24"/>
                <w:szCs w:val="24"/>
              </w:rPr>
              <w:t xml:space="preserve"> приложения 2 к Порядку проведения Департаментом финансов Ивановской области мониторинга качества финансового менеджмента</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2.28</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Своевременность и полнота направления (представления) ГАБС в Департамент финансов Ивановской области в соответствии со </w:t>
            </w:r>
            <w:hyperlink r:id="rId17">
              <w:r w:rsidRPr="003B5F75">
                <w:rPr>
                  <w:rFonts w:ascii="Times New Roman" w:hAnsi="Times New Roman" w:cs="Times New Roman"/>
                  <w:color w:val="000000" w:themeColor="text1"/>
                  <w:sz w:val="24"/>
                  <w:szCs w:val="24"/>
                </w:rPr>
                <w:t>ст. 242.2</w:t>
              </w:r>
            </w:hyperlink>
            <w:r w:rsidRPr="003B5F75">
              <w:rPr>
                <w:rFonts w:ascii="Times New Roman" w:hAnsi="Times New Roman" w:cs="Times New Roman"/>
                <w:color w:val="000000" w:themeColor="text1"/>
                <w:sz w:val="24"/>
                <w:szCs w:val="24"/>
              </w:rPr>
              <w:t xml:space="preserve"> Бюджетного кодекса Российской Федерации информации о результатах рассмотрения дела в суде и информации о наличии оснований для обжалования судебного акта</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P2.28 - направление (представление) ГАБС в Департамент финансов Ивановской области в установленных им Порядках, принятых согласно </w:t>
            </w:r>
            <w:hyperlink r:id="rId18">
              <w:r w:rsidRPr="003B5F75">
                <w:rPr>
                  <w:rFonts w:ascii="Times New Roman" w:hAnsi="Times New Roman" w:cs="Times New Roman"/>
                  <w:color w:val="000000" w:themeColor="text1"/>
                  <w:sz w:val="24"/>
                  <w:szCs w:val="24"/>
                </w:rPr>
                <w:t>ст. 242.2</w:t>
              </w:r>
            </w:hyperlink>
            <w:r w:rsidRPr="003B5F75">
              <w:rPr>
                <w:rFonts w:ascii="Times New Roman" w:hAnsi="Times New Roman" w:cs="Times New Roman"/>
                <w:color w:val="000000" w:themeColor="text1"/>
                <w:sz w:val="24"/>
                <w:szCs w:val="24"/>
              </w:rPr>
              <w:t xml:space="preserve"> БК РФ, информации о результатах рассмотрения дела в суде и информации о наличии оснований для обжалования судебного акта</w:t>
            </w:r>
          </w:p>
        </w:tc>
        <w:tc>
          <w:tcPr>
            <w:tcW w:w="1417" w:type="dxa"/>
            <w:vMerge w:val="restart"/>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Оцениваются ГАБС, которые в отчетном финансовом году были привлечены для участия в судебных заседаниях в качестве представителя ответчика по искам к Ивановской области. Показатель характеризует полноту и своевременность направления (представления) ГАБС в Департамент финансов Ивановской области информации о результатах рассмотрения дела в суде и информации о наличии оснований для обжалования судебного акта</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P2.28 = Информация направлена (представлена) в установленный срок и в полном объеме</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P2.28 = Информация направлена (представлена) в полном объеме, но с нарушением срока либо представлена в срок, но не в полном объеме</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P2.28 = Информация направлена (представлена) не в полном объеме </w:t>
            </w:r>
            <w:r w:rsidRPr="003B5F75">
              <w:rPr>
                <w:rFonts w:ascii="Times New Roman" w:hAnsi="Times New Roman" w:cs="Times New Roman"/>
                <w:color w:val="000000" w:themeColor="text1"/>
                <w:sz w:val="24"/>
                <w:szCs w:val="24"/>
              </w:rPr>
              <w:lastRenderedPageBreak/>
              <w:t>и позже установленного срока</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2.29</w:t>
            </w:r>
          </w:p>
        </w:tc>
        <w:tc>
          <w:tcPr>
            <w:tcW w:w="3562"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Полнота принятия бюджетных обязательств, связанных с закупкой товаров, работ, услуг</w:t>
            </w:r>
          </w:p>
        </w:tc>
        <w:tc>
          <w:tcPr>
            <w:tcW w:w="209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0,03</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P2.29 = </w:t>
            </w:r>
            <w:proofErr w:type="spellStart"/>
            <w:r w:rsidRPr="003B5F75">
              <w:rPr>
                <w:rFonts w:ascii="Times New Roman" w:hAnsi="Times New Roman" w:cs="Times New Roman"/>
                <w:color w:val="000000" w:themeColor="text1"/>
                <w:sz w:val="24"/>
                <w:szCs w:val="24"/>
              </w:rPr>
              <w:t>Vbo</w:t>
            </w:r>
            <w:proofErr w:type="spellEnd"/>
            <w:r w:rsidRPr="003B5F75">
              <w:rPr>
                <w:rFonts w:ascii="Times New Roman" w:hAnsi="Times New Roman" w:cs="Times New Roman"/>
                <w:color w:val="000000" w:themeColor="text1"/>
                <w:sz w:val="24"/>
                <w:szCs w:val="24"/>
              </w:rPr>
              <w:t xml:space="preserve"> / </w:t>
            </w:r>
            <w:proofErr w:type="spellStart"/>
            <w:r w:rsidRPr="003B5F75">
              <w:rPr>
                <w:rFonts w:ascii="Times New Roman" w:hAnsi="Times New Roman" w:cs="Times New Roman"/>
                <w:color w:val="000000" w:themeColor="text1"/>
                <w:sz w:val="24"/>
                <w:szCs w:val="24"/>
              </w:rPr>
              <w:t>Vd</w:t>
            </w:r>
            <w:proofErr w:type="spellEnd"/>
            <w:r w:rsidRPr="003B5F75">
              <w:rPr>
                <w:rFonts w:ascii="Times New Roman" w:hAnsi="Times New Roman" w:cs="Times New Roman"/>
                <w:color w:val="000000" w:themeColor="text1"/>
                <w:sz w:val="24"/>
                <w:szCs w:val="24"/>
              </w:rPr>
              <w:t xml:space="preserve"> x 100, где:</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V</w:t>
            </w:r>
            <w:r w:rsidRPr="003B5F75">
              <w:rPr>
                <w:rFonts w:ascii="Times New Roman" w:hAnsi="Times New Roman" w:cs="Times New Roman"/>
                <w:color w:val="000000" w:themeColor="text1"/>
                <w:sz w:val="24"/>
                <w:szCs w:val="24"/>
                <w:vertAlign w:val="subscript"/>
              </w:rPr>
              <w:t>bo</w:t>
            </w:r>
            <w:proofErr w:type="spellEnd"/>
            <w:r w:rsidRPr="003B5F75">
              <w:rPr>
                <w:rFonts w:ascii="Times New Roman" w:hAnsi="Times New Roman" w:cs="Times New Roman"/>
                <w:color w:val="000000" w:themeColor="text1"/>
                <w:sz w:val="24"/>
                <w:szCs w:val="24"/>
              </w:rPr>
              <w:t xml:space="preserve"> - объем принятых бюджетных обязательств, связанных с закупкой товаров, работ, услуг, по состоянию на конец отчетного финансового года;</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V</w:t>
            </w:r>
            <w:r w:rsidRPr="003B5F75">
              <w:rPr>
                <w:rFonts w:ascii="Times New Roman" w:hAnsi="Times New Roman" w:cs="Times New Roman"/>
                <w:color w:val="000000" w:themeColor="text1"/>
                <w:sz w:val="24"/>
                <w:szCs w:val="24"/>
                <w:vertAlign w:val="subscript"/>
              </w:rPr>
              <w:t>d</w:t>
            </w:r>
            <w:proofErr w:type="spellEnd"/>
            <w:r w:rsidRPr="003B5F75">
              <w:rPr>
                <w:rFonts w:ascii="Times New Roman" w:hAnsi="Times New Roman" w:cs="Times New Roman"/>
                <w:color w:val="000000" w:themeColor="text1"/>
                <w:sz w:val="24"/>
                <w:szCs w:val="24"/>
              </w:rPr>
              <w:t xml:space="preserve"> - объем доведенных лимитов бюджетных обязательств на закупку товаров, работ, услуг, по состоянию на конец отчетного финансового года</w:t>
            </w: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Значение показателя отражает риски неисполнения бюджетных ассигнований в связи с несвоевременным заключением государственных контрактов на закупку товаров, работ, услуг. Ориентиром для ГАБС является уровень принятых бюджетных обязательств, связанных с закупкой товаров, работ, услуг, позволяющий равномерно и в полном объеме исполнять предусмотренные бюджетные ассигнования</w:t>
            </w: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100 = P2.29</w:t>
            </w: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90 &lt; P2.29 &lt; 100</w:t>
            </w: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70 &lt;= P2.29 &lt;= 90</w:t>
            </w: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P2.29 &lt; 70</w:t>
            </w:r>
          </w:p>
        </w:tc>
        <w:tc>
          <w:tcPr>
            <w:tcW w:w="1417" w:type="dxa"/>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562"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Качество управления активами, ведения учета и составления бюджетной отчетности</w:t>
            </w:r>
          </w:p>
        </w:tc>
        <w:tc>
          <w:tcPr>
            <w:tcW w:w="209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0,1</w:t>
            </w:r>
          </w:p>
        </w:tc>
        <w:tc>
          <w:tcPr>
            <w:tcW w:w="9932" w:type="dxa"/>
            <w:gridSpan w:val="4"/>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3.1</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Соблюдение сроков представления ГАБС годовой бюджетной отчетности</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0,5</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P3.1 - количество дней отклонения от даты, назначенной ГАБС для представления годовой бюджетной отчетности в соответствии с графиком, утвержденным приказом Департамента финансов о представлении годовой </w:t>
            </w:r>
            <w:r w:rsidRPr="003B5F75">
              <w:rPr>
                <w:rFonts w:ascii="Times New Roman" w:hAnsi="Times New Roman" w:cs="Times New Roman"/>
                <w:color w:val="000000" w:themeColor="text1"/>
                <w:sz w:val="24"/>
                <w:szCs w:val="24"/>
              </w:rPr>
              <w:lastRenderedPageBreak/>
              <w:t>бюджетной отчетности, от срока ее представления</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День</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P3.1 = 0</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P3.1 = 1</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P3.1 = 2</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P3.1 = 3</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P3.1 = 4</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P3.1 = 5</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3.2</w:t>
            </w:r>
          </w:p>
        </w:tc>
        <w:tc>
          <w:tcPr>
            <w:tcW w:w="3562"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Эффективность управления недвижимым имуществом</w:t>
            </w:r>
          </w:p>
        </w:tc>
        <w:tc>
          <w:tcPr>
            <w:tcW w:w="209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0,5</w:t>
            </w: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P3.2 = </w:t>
            </w:r>
            <w:proofErr w:type="spellStart"/>
            <w:r w:rsidRPr="003B5F75">
              <w:rPr>
                <w:rFonts w:ascii="Times New Roman" w:hAnsi="Times New Roman" w:cs="Times New Roman"/>
                <w:color w:val="000000" w:themeColor="text1"/>
                <w:sz w:val="24"/>
                <w:szCs w:val="24"/>
              </w:rPr>
              <w:t>Dа</w:t>
            </w:r>
            <w:proofErr w:type="spellEnd"/>
            <w:r w:rsidRPr="003B5F75">
              <w:rPr>
                <w:rFonts w:ascii="Times New Roman" w:hAnsi="Times New Roman" w:cs="Times New Roman"/>
                <w:color w:val="000000" w:themeColor="text1"/>
                <w:sz w:val="24"/>
                <w:szCs w:val="24"/>
              </w:rPr>
              <w:t xml:space="preserve"> / </w:t>
            </w:r>
            <w:proofErr w:type="spellStart"/>
            <w:r w:rsidRPr="003B5F75">
              <w:rPr>
                <w:rFonts w:ascii="Times New Roman" w:hAnsi="Times New Roman" w:cs="Times New Roman"/>
                <w:color w:val="000000" w:themeColor="text1"/>
                <w:sz w:val="24"/>
                <w:szCs w:val="24"/>
              </w:rPr>
              <w:t>Rср</w:t>
            </w:r>
            <w:proofErr w:type="spellEnd"/>
            <w:r w:rsidRPr="003B5F75">
              <w:rPr>
                <w:rFonts w:ascii="Times New Roman" w:hAnsi="Times New Roman" w:cs="Times New Roman"/>
                <w:color w:val="000000" w:themeColor="text1"/>
                <w:sz w:val="24"/>
                <w:szCs w:val="24"/>
              </w:rPr>
              <w:t>,</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где:</w:t>
            </w:r>
          </w:p>
          <w:p w:rsidR="003B5F75" w:rsidRPr="003B5F75" w:rsidRDefault="003B5F75">
            <w:pPr>
              <w:pStyle w:val="ConsPlusNormal"/>
              <w:jc w:val="both"/>
              <w:rPr>
                <w:rFonts w:ascii="Times New Roman" w:hAnsi="Times New Roman" w:cs="Times New Roman"/>
                <w:color w:val="000000" w:themeColor="text1"/>
                <w:sz w:val="24"/>
                <w:szCs w:val="24"/>
              </w:rPr>
            </w:pPr>
            <w:proofErr w:type="spellStart"/>
            <w:r w:rsidRPr="003B5F75">
              <w:rPr>
                <w:rFonts w:ascii="Times New Roman" w:hAnsi="Times New Roman" w:cs="Times New Roman"/>
                <w:color w:val="000000" w:themeColor="text1"/>
                <w:sz w:val="24"/>
                <w:szCs w:val="24"/>
              </w:rPr>
              <w:t>Dа</w:t>
            </w:r>
            <w:proofErr w:type="spellEnd"/>
            <w:r w:rsidRPr="003B5F75">
              <w:rPr>
                <w:rFonts w:ascii="Times New Roman" w:hAnsi="Times New Roman" w:cs="Times New Roman"/>
                <w:color w:val="000000" w:themeColor="text1"/>
                <w:sz w:val="24"/>
                <w:szCs w:val="24"/>
              </w:rPr>
              <w:t xml:space="preserve"> - доходы областного бюджета от перечисления арендаторами арендной платы в отчетном финансовом году;</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R - расходы областного бюджета на содержание административных зданий, сооружений, нежилых помещений, переданных в аренду (безвозмездное пользование) в отчетном финансовом году</w:t>
            </w:r>
          </w:p>
        </w:tc>
        <w:tc>
          <w:tcPr>
            <w:tcW w:w="1417"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Единица</w:t>
            </w:r>
          </w:p>
        </w:tc>
        <w:tc>
          <w:tcPr>
            <w:tcW w:w="1711" w:type="dxa"/>
          </w:tcPr>
          <w:p w:rsidR="003B5F75" w:rsidRPr="003B5F75" w:rsidRDefault="003B5F75">
            <w:pPr>
              <w:pStyle w:val="ConsPlusNormal"/>
              <w:rPr>
                <w:rFonts w:ascii="Times New Roman" w:hAnsi="Times New Roman" w:cs="Times New Roman"/>
                <w:color w:val="000000" w:themeColor="text1"/>
                <w:sz w:val="24"/>
                <w:szCs w:val="24"/>
              </w:rPr>
            </w:pPr>
          </w:p>
        </w:tc>
        <w:tc>
          <w:tcPr>
            <w:tcW w:w="3118" w:type="dxa"/>
            <w:vMerge w:val="restart"/>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Негативно расценивается факт превышения расходов на содержание административных зданий, сооружений, нежилых помещений, переданных в аренду (безвозмездное пользование), над доходами от перечисления арендаторами арендной платы.</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Ориентиром для ГАБС является значение показателя качества </w:t>
            </w:r>
            <w:proofErr w:type="spellStart"/>
            <w:r w:rsidRPr="003B5F75">
              <w:rPr>
                <w:rFonts w:ascii="Times New Roman" w:hAnsi="Times New Roman" w:cs="Times New Roman"/>
                <w:color w:val="000000" w:themeColor="text1"/>
                <w:sz w:val="24"/>
                <w:szCs w:val="24"/>
              </w:rPr>
              <w:t>P</w:t>
            </w:r>
            <w:r w:rsidRPr="003B5F75">
              <w:rPr>
                <w:rFonts w:ascii="Times New Roman" w:hAnsi="Times New Roman" w:cs="Times New Roman"/>
                <w:color w:val="000000" w:themeColor="text1"/>
                <w:sz w:val="24"/>
                <w:szCs w:val="24"/>
                <w:vertAlign w:val="subscript"/>
              </w:rPr>
              <w:t>ijk</w:t>
            </w:r>
            <w:proofErr w:type="spellEnd"/>
            <w:r w:rsidRPr="003B5F75">
              <w:rPr>
                <w:rFonts w:ascii="Times New Roman" w:hAnsi="Times New Roman" w:cs="Times New Roman"/>
                <w:color w:val="000000" w:themeColor="text1"/>
                <w:sz w:val="24"/>
                <w:szCs w:val="24"/>
              </w:rPr>
              <w:t>, меньшее 1</w:t>
            </w: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P3.2 = 1</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2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562"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09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3686"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P3.2 &lt; 1</w:t>
            </w:r>
          </w:p>
        </w:tc>
        <w:tc>
          <w:tcPr>
            <w:tcW w:w="1417"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1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0</w:t>
            </w:r>
          </w:p>
        </w:tc>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r>
    </w:tbl>
    <w:p w:rsidR="003B5F75" w:rsidRPr="003B5F75" w:rsidRDefault="003B5F75">
      <w:pPr>
        <w:pStyle w:val="ConsPlusNormal"/>
        <w:rPr>
          <w:rFonts w:ascii="Times New Roman" w:hAnsi="Times New Roman" w:cs="Times New Roman"/>
          <w:color w:val="000000" w:themeColor="text1"/>
          <w:sz w:val="24"/>
          <w:szCs w:val="24"/>
        </w:rPr>
        <w:sectPr w:rsidR="003B5F75" w:rsidRPr="003B5F75">
          <w:pgSz w:w="16838" w:h="11905" w:orient="landscape"/>
          <w:pgMar w:top="1701" w:right="1134" w:bottom="850" w:left="1134" w:header="0" w:footer="0" w:gutter="0"/>
          <w:cols w:space="720"/>
          <w:titlePg/>
        </w:sect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&lt;*&gt; Оценка размещения плана финансово-хозяйственной деятельности и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применяется с 01.01.2026.</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right"/>
        <w:outlineLvl w:val="1"/>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Приложение 2</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 Порядку</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проведения Департаментом финансов Ивановской области</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мониторинга качества финансового менеджмента</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center"/>
        <w:rPr>
          <w:rFonts w:ascii="Times New Roman" w:hAnsi="Times New Roman" w:cs="Times New Roman"/>
          <w:color w:val="000000" w:themeColor="text1"/>
          <w:sz w:val="24"/>
          <w:szCs w:val="24"/>
        </w:rPr>
      </w:pPr>
      <w:bookmarkStart w:id="4" w:name="P786"/>
      <w:bookmarkEnd w:id="4"/>
      <w:r w:rsidRPr="003B5F75">
        <w:rPr>
          <w:rFonts w:ascii="Times New Roman" w:hAnsi="Times New Roman" w:cs="Times New Roman"/>
          <w:color w:val="000000" w:themeColor="text1"/>
          <w:sz w:val="24"/>
          <w:szCs w:val="24"/>
        </w:rPr>
        <w:t>Информация</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для проведения мониторинга качества</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финансового менеджмента в отношении</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__________________________________________________</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(наименование главного администратора средств</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областного бюджета)</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outlineLvl w:val="2"/>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 Информация о размещении правовых актов на официальном сайте главного администратора средств областного бюджета:</w:t>
      </w:r>
    </w:p>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B5F75" w:rsidRPr="003B5F75">
        <w:tc>
          <w:tcPr>
            <w:tcW w:w="9070" w:type="dxa"/>
            <w:tcBorders>
              <w:top w:val="nil"/>
              <w:left w:val="nil"/>
              <w:bottom w:val="nil"/>
              <w:right w:val="nil"/>
            </w:tcBorders>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Официальный сайт в сети Интернет: ______________________________________</w:t>
            </w:r>
          </w:p>
        </w:tc>
      </w:tr>
    </w:tbl>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2381"/>
        <w:gridCol w:w="2381"/>
      </w:tblGrid>
      <w:tr w:rsidR="003B5F75" w:rsidRPr="003B5F75">
        <w:tc>
          <w:tcPr>
            <w:tcW w:w="4308" w:type="dxa"/>
          </w:tcPr>
          <w:p w:rsidR="003B5F75" w:rsidRPr="003B5F75" w:rsidRDefault="003B5F75">
            <w:pPr>
              <w:pStyle w:val="ConsPlusNormal"/>
              <w:jc w:val="center"/>
              <w:rPr>
                <w:rFonts w:ascii="Times New Roman" w:hAnsi="Times New Roman" w:cs="Times New Roman"/>
                <w:color w:val="000000" w:themeColor="text1"/>
                <w:sz w:val="24"/>
                <w:szCs w:val="24"/>
              </w:rPr>
            </w:pPr>
            <w:hyperlink w:anchor="P156">
              <w:r w:rsidRPr="003B5F75">
                <w:rPr>
                  <w:rFonts w:ascii="Times New Roman" w:hAnsi="Times New Roman" w:cs="Times New Roman"/>
                  <w:color w:val="000000" w:themeColor="text1"/>
                  <w:sz w:val="24"/>
                  <w:szCs w:val="24"/>
                </w:rPr>
                <w:t>Показатели</w:t>
              </w:r>
            </w:hyperlink>
            <w:r w:rsidRPr="003B5F75">
              <w:rPr>
                <w:rFonts w:ascii="Times New Roman" w:hAnsi="Times New Roman" w:cs="Times New Roman"/>
                <w:color w:val="000000" w:themeColor="text1"/>
                <w:sz w:val="24"/>
                <w:szCs w:val="24"/>
              </w:rPr>
              <w:t xml:space="preserve">, установленные в Приложении 1 к Порядку проведения Департаментом финансов Ивановской области мониторинга качества финансового менеджмента от ___________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_____</w:t>
            </w:r>
          </w:p>
        </w:tc>
        <w:tc>
          <w:tcPr>
            <w:tcW w:w="238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Вид, дата, номер, наименование правового акта</w:t>
            </w:r>
          </w:p>
        </w:tc>
        <w:tc>
          <w:tcPr>
            <w:tcW w:w="238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Адрес размещения правового акта на официальном сайте (раздел, подраздел и т.п.)</w:t>
            </w:r>
          </w:p>
        </w:tc>
      </w:tr>
      <w:tr w:rsidR="003B5F75" w:rsidRPr="003B5F75">
        <w:tc>
          <w:tcPr>
            <w:tcW w:w="430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P2.4</w:t>
            </w: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430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P2.5</w:t>
            </w: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430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P2.15</w:t>
            </w: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430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P2.16</w:t>
            </w: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430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P2.17</w:t>
            </w: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c>
          <w:tcPr>
            <w:tcW w:w="2381" w:type="dxa"/>
          </w:tcPr>
          <w:p w:rsidR="003B5F75" w:rsidRPr="003B5F75" w:rsidRDefault="003B5F75">
            <w:pPr>
              <w:pStyle w:val="ConsPlusNormal"/>
              <w:rPr>
                <w:rFonts w:ascii="Times New Roman" w:hAnsi="Times New Roman" w:cs="Times New Roman"/>
                <w:color w:val="000000" w:themeColor="text1"/>
                <w:sz w:val="24"/>
                <w:szCs w:val="24"/>
              </w:rPr>
            </w:pPr>
          </w:p>
        </w:tc>
      </w:tr>
    </w:tbl>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outlineLvl w:val="2"/>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2. Информация для расчета показателей P2.19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Удельный вес государственных учреждений, выполнивших государственное задание на 100%, в общем количестве государственных учреждений, подведомственных ГАБС, которым установлены государственные задания</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и P2.21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Удельный вес государственных учреждений в общем количестве государственных учреждений, подведомственных ГАБС, в которых оплата труда руководителей определяется с учетом результатов достижения ими ключевых </w:t>
      </w:r>
      <w:r w:rsidRPr="003B5F75">
        <w:rPr>
          <w:rFonts w:ascii="Times New Roman" w:hAnsi="Times New Roman" w:cs="Times New Roman"/>
          <w:color w:val="000000" w:themeColor="text1"/>
          <w:sz w:val="24"/>
          <w:szCs w:val="24"/>
        </w:rPr>
        <w:lastRenderedPageBreak/>
        <w:t>показателей эффективности деятельности</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w:t>
      </w:r>
    </w:p>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2"/>
      </w:tblGrid>
      <w:tr w:rsidR="003B5F75" w:rsidRPr="003B5F75">
        <w:tc>
          <w:tcPr>
            <w:tcW w:w="6803"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Общее количество подведомственных государственных учреждений</w:t>
            </w:r>
          </w:p>
        </w:tc>
        <w:tc>
          <w:tcPr>
            <w:tcW w:w="2262"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803"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Общее количество государственных учреждений, которым установлены государственные задания в отчетном финансовом году</w:t>
            </w:r>
          </w:p>
        </w:tc>
        <w:tc>
          <w:tcPr>
            <w:tcW w:w="2262"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803"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Количество государственных учреждений, выполнивших государственное задание на 100% в отчетном финансовом году</w:t>
            </w:r>
          </w:p>
        </w:tc>
        <w:tc>
          <w:tcPr>
            <w:tcW w:w="2262"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6803"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Количество государственных учреждений, в которых оплата труда руководителей определяется с учетом результатов достижения ими ключевых показателей эффективности деятельности</w:t>
            </w:r>
          </w:p>
        </w:tc>
        <w:tc>
          <w:tcPr>
            <w:tcW w:w="2262" w:type="dxa"/>
          </w:tcPr>
          <w:p w:rsidR="003B5F75" w:rsidRPr="003B5F75" w:rsidRDefault="003B5F75">
            <w:pPr>
              <w:pStyle w:val="ConsPlusNormal"/>
              <w:rPr>
                <w:rFonts w:ascii="Times New Roman" w:hAnsi="Times New Roman" w:cs="Times New Roman"/>
                <w:color w:val="000000" w:themeColor="text1"/>
                <w:sz w:val="24"/>
                <w:szCs w:val="24"/>
              </w:rPr>
            </w:pPr>
          </w:p>
        </w:tc>
      </w:tr>
    </w:tbl>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outlineLvl w:val="2"/>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3. Информация для расчета показателя P2.23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Достижение целевых значений показателей результативности использования субсидий, предоставленных из федерального бюджета бюджету Ивановской области</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w:t>
      </w:r>
    </w:p>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324"/>
        <w:gridCol w:w="1814"/>
        <w:gridCol w:w="1814"/>
      </w:tblGrid>
      <w:tr w:rsidR="003B5F75" w:rsidRPr="003B5F75">
        <w:tc>
          <w:tcPr>
            <w:tcW w:w="3118"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Реквизиты соглашения о предоставлении субсидии из федерального бюджета бюджету Ивановской области</w:t>
            </w:r>
          </w:p>
        </w:tc>
        <w:tc>
          <w:tcPr>
            <w:tcW w:w="5952" w:type="dxa"/>
            <w:gridSpan w:val="3"/>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Показатель результативности использования субсидии, предоставленной из федерального бюджета бюджету Ивановской области</w:t>
            </w:r>
          </w:p>
        </w:tc>
      </w:tr>
      <w:tr w:rsidR="003B5F75" w:rsidRPr="003B5F75">
        <w:tc>
          <w:tcPr>
            <w:tcW w:w="3118"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232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Наименование</w:t>
            </w:r>
          </w:p>
        </w:tc>
        <w:tc>
          <w:tcPr>
            <w:tcW w:w="181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Целевое значение</w:t>
            </w:r>
          </w:p>
        </w:tc>
        <w:tc>
          <w:tcPr>
            <w:tcW w:w="181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Фактическое значение</w:t>
            </w:r>
          </w:p>
        </w:tc>
      </w:tr>
      <w:tr w:rsidR="003B5F75" w:rsidRPr="003B5F75">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c>
          <w:tcPr>
            <w:tcW w:w="2324" w:type="dxa"/>
          </w:tcPr>
          <w:p w:rsidR="003B5F75" w:rsidRPr="003B5F75" w:rsidRDefault="003B5F75">
            <w:pPr>
              <w:pStyle w:val="ConsPlusNormal"/>
              <w:rPr>
                <w:rFonts w:ascii="Times New Roman" w:hAnsi="Times New Roman" w:cs="Times New Roman"/>
                <w:color w:val="000000" w:themeColor="text1"/>
                <w:sz w:val="24"/>
                <w:szCs w:val="24"/>
              </w:rPr>
            </w:pPr>
          </w:p>
        </w:tc>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c>
          <w:tcPr>
            <w:tcW w:w="2324" w:type="dxa"/>
          </w:tcPr>
          <w:p w:rsidR="003B5F75" w:rsidRPr="003B5F75" w:rsidRDefault="003B5F75">
            <w:pPr>
              <w:pStyle w:val="ConsPlusNormal"/>
              <w:rPr>
                <w:rFonts w:ascii="Times New Roman" w:hAnsi="Times New Roman" w:cs="Times New Roman"/>
                <w:color w:val="000000" w:themeColor="text1"/>
                <w:sz w:val="24"/>
                <w:szCs w:val="24"/>
              </w:rPr>
            </w:pPr>
          </w:p>
        </w:tc>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3118" w:type="dxa"/>
          </w:tcPr>
          <w:p w:rsidR="003B5F75" w:rsidRPr="003B5F75" w:rsidRDefault="003B5F75">
            <w:pPr>
              <w:pStyle w:val="ConsPlusNormal"/>
              <w:rPr>
                <w:rFonts w:ascii="Times New Roman" w:hAnsi="Times New Roman" w:cs="Times New Roman"/>
                <w:color w:val="000000" w:themeColor="text1"/>
                <w:sz w:val="24"/>
                <w:szCs w:val="24"/>
              </w:rPr>
            </w:pPr>
          </w:p>
        </w:tc>
        <w:tc>
          <w:tcPr>
            <w:tcW w:w="2324" w:type="dxa"/>
          </w:tcPr>
          <w:p w:rsidR="003B5F75" w:rsidRPr="003B5F75" w:rsidRDefault="003B5F75">
            <w:pPr>
              <w:pStyle w:val="ConsPlusNormal"/>
              <w:rPr>
                <w:rFonts w:ascii="Times New Roman" w:hAnsi="Times New Roman" w:cs="Times New Roman"/>
                <w:color w:val="000000" w:themeColor="text1"/>
                <w:sz w:val="24"/>
                <w:szCs w:val="24"/>
              </w:rPr>
            </w:pPr>
          </w:p>
        </w:tc>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r>
    </w:tbl>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outlineLvl w:val="2"/>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4. Информация для расчета показателя P2.24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Полнота и своевременность размещения информации подведомственными ГАБС государственными учреждениями 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в том числе государственных заданий на оказание государственных услуг, планов финансово-хозяйственной деятельности, показателей бюджетных смет, 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w:t>
      </w:r>
    </w:p>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2551"/>
        <w:gridCol w:w="2551"/>
      </w:tblGrid>
      <w:tr w:rsidR="003B5F75" w:rsidRPr="003B5F75">
        <w:tc>
          <w:tcPr>
            <w:tcW w:w="396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Информация, размещенная 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p>
        </w:tc>
        <w:tc>
          <w:tcPr>
            <w:tcW w:w="255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Количество подведомственных ГАБС государственных учреждений, разместивших информацию </w:t>
            </w:r>
            <w:r w:rsidRPr="003B5F75">
              <w:rPr>
                <w:rFonts w:ascii="Times New Roman" w:hAnsi="Times New Roman" w:cs="Times New Roman"/>
                <w:color w:val="000000" w:themeColor="text1"/>
                <w:sz w:val="24"/>
                <w:szCs w:val="24"/>
              </w:rPr>
              <w:lastRenderedPageBreak/>
              <w:t>своевременно и в полном объеме</w:t>
            </w:r>
          </w:p>
        </w:tc>
        <w:tc>
          <w:tcPr>
            <w:tcW w:w="255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Общее количество подведомственных ГАБС государственных учреждений</w:t>
            </w:r>
          </w:p>
        </w:tc>
      </w:tr>
      <w:tr w:rsidR="003B5F75" w:rsidRPr="003B5F75">
        <w:tc>
          <w:tcPr>
            <w:tcW w:w="396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Государственные задания на оказание государственных услуг</w:t>
            </w: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396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Планы финансово-хозяйственной деятельности &lt;*&gt;</w:t>
            </w: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396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Показатели бюджетных смет</w:t>
            </w: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396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Балансы государственных учреждений</w:t>
            </w: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3968" w:type="dxa"/>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Отчеты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&lt;*&gt;</w:t>
            </w: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c>
          <w:tcPr>
            <w:tcW w:w="2551" w:type="dxa"/>
          </w:tcPr>
          <w:p w:rsidR="003B5F75" w:rsidRPr="003B5F75" w:rsidRDefault="003B5F75">
            <w:pPr>
              <w:pStyle w:val="ConsPlusNormal"/>
              <w:rPr>
                <w:rFonts w:ascii="Times New Roman" w:hAnsi="Times New Roman" w:cs="Times New Roman"/>
                <w:color w:val="000000" w:themeColor="text1"/>
                <w:sz w:val="24"/>
                <w:szCs w:val="24"/>
              </w:rPr>
            </w:pPr>
          </w:p>
        </w:tc>
      </w:tr>
    </w:tbl>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outlineLvl w:val="2"/>
        <w:rPr>
          <w:rFonts w:ascii="Times New Roman" w:hAnsi="Times New Roman" w:cs="Times New Roman"/>
          <w:color w:val="000000" w:themeColor="text1"/>
          <w:sz w:val="24"/>
          <w:szCs w:val="24"/>
        </w:rPr>
      </w:pPr>
      <w:bookmarkStart w:id="5" w:name="P868"/>
      <w:bookmarkEnd w:id="5"/>
      <w:r w:rsidRPr="003B5F75">
        <w:rPr>
          <w:rFonts w:ascii="Times New Roman" w:hAnsi="Times New Roman" w:cs="Times New Roman"/>
          <w:color w:val="000000" w:themeColor="text1"/>
          <w:sz w:val="24"/>
          <w:szCs w:val="24"/>
        </w:rPr>
        <w:t xml:space="preserve">5. Информация для расчета показателя P2.25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Доля фактического участия ГАБС в судебных заседаниях в общем количестве заседаний, назначенных судом</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w:t>
      </w:r>
    </w:p>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3B5F75" w:rsidRPr="003B5F75">
        <w:tc>
          <w:tcPr>
            <w:tcW w:w="2267"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Наименование суда, номер судебного дела</w:t>
            </w:r>
          </w:p>
        </w:tc>
        <w:tc>
          <w:tcPr>
            <w:tcW w:w="2267"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Количество судебных заседаний, в которых представитель ГАБС принял фактическое участие</w:t>
            </w:r>
          </w:p>
        </w:tc>
        <w:tc>
          <w:tcPr>
            <w:tcW w:w="2267"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Количество направленных ходатайств о рассмотрении дела в отсутствие представителя ГАБС &lt;**&gt;</w:t>
            </w:r>
          </w:p>
        </w:tc>
        <w:tc>
          <w:tcPr>
            <w:tcW w:w="2267"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Общее количество судебных заседаний, назначенных судом</w:t>
            </w:r>
          </w:p>
        </w:tc>
      </w:tr>
      <w:tr w:rsidR="003B5F75" w:rsidRPr="003B5F75">
        <w:tc>
          <w:tcPr>
            <w:tcW w:w="2267" w:type="dxa"/>
          </w:tcPr>
          <w:p w:rsidR="003B5F75" w:rsidRPr="003B5F75" w:rsidRDefault="003B5F75">
            <w:pPr>
              <w:pStyle w:val="ConsPlusNormal"/>
              <w:rPr>
                <w:rFonts w:ascii="Times New Roman" w:hAnsi="Times New Roman" w:cs="Times New Roman"/>
                <w:color w:val="000000" w:themeColor="text1"/>
                <w:sz w:val="24"/>
                <w:szCs w:val="24"/>
              </w:rPr>
            </w:pPr>
          </w:p>
        </w:tc>
        <w:tc>
          <w:tcPr>
            <w:tcW w:w="2267" w:type="dxa"/>
          </w:tcPr>
          <w:p w:rsidR="003B5F75" w:rsidRPr="003B5F75" w:rsidRDefault="003B5F75">
            <w:pPr>
              <w:pStyle w:val="ConsPlusNormal"/>
              <w:rPr>
                <w:rFonts w:ascii="Times New Roman" w:hAnsi="Times New Roman" w:cs="Times New Roman"/>
                <w:color w:val="000000" w:themeColor="text1"/>
                <w:sz w:val="24"/>
                <w:szCs w:val="24"/>
              </w:rPr>
            </w:pPr>
          </w:p>
        </w:tc>
        <w:tc>
          <w:tcPr>
            <w:tcW w:w="2267" w:type="dxa"/>
          </w:tcPr>
          <w:p w:rsidR="003B5F75" w:rsidRPr="003B5F75" w:rsidRDefault="003B5F75">
            <w:pPr>
              <w:pStyle w:val="ConsPlusNormal"/>
              <w:rPr>
                <w:rFonts w:ascii="Times New Roman" w:hAnsi="Times New Roman" w:cs="Times New Roman"/>
                <w:color w:val="000000" w:themeColor="text1"/>
                <w:sz w:val="24"/>
                <w:szCs w:val="24"/>
              </w:rPr>
            </w:pPr>
          </w:p>
        </w:tc>
        <w:tc>
          <w:tcPr>
            <w:tcW w:w="2267" w:type="dxa"/>
          </w:tcPr>
          <w:p w:rsidR="003B5F75" w:rsidRPr="003B5F75" w:rsidRDefault="003B5F75">
            <w:pPr>
              <w:pStyle w:val="ConsPlusNormal"/>
              <w:rPr>
                <w:rFonts w:ascii="Times New Roman" w:hAnsi="Times New Roman" w:cs="Times New Roman"/>
                <w:color w:val="000000" w:themeColor="text1"/>
                <w:sz w:val="24"/>
                <w:szCs w:val="24"/>
              </w:rPr>
            </w:pPr>
          </w:p>
        </w:tc>
      </w:tr>
    </w:tbl>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outlineLvl w:val="2"/>
        <w:rPr>
          <w:rFonts w:ascii="Times New Roman" w:hAnsi="Times New Roman" w:cs="Times New Roman"/>
          <w:color w:val="000000" w:themeColor="text1"/>
          <w:sz w:val="24"/>
          <w:szCs w:val="24"/>
        </w:rPr>
      </w:pPr>
      <w:bookmarkStart w:id="6" w:name="P879"/>
      <w:bookmarkEnd w:id="6"/>
      <w:r w:rsidRPr="003B5F75">
        <w:rPr>
          <w:rFonts w:ascii="Times New Roman" w:hAnsi="Times New Roman" w:cs="Times New Roman"/>
          <w:color w:val="000000" w:themeColor="text1"/>
          <w:sz w:val="24"/>
          <w:szCs w:val="24"/>
        </w:rPr>
        <w:t xml:space="preserve">6. Информация для расчета показателя P2.26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Доля фактического направления ГАБС в суд отзывов (возражений) на исковые заявления от количества принятых судом исковых заявлений и направленных заявителем в суд дополнений (изменений)</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w:t>
      </w:r>
    </w:p>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51"/>
        <w:gridCol w:w="3968"/>
      </w:tblGrid>
      <w:tr w:rsidR="003B5F75" w:rsidRPr="003B5F75">
        <w:tc>
          <w:tcPr>
            <w:tcW w:w="255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Наименование суда, номер судебного дела</w:t>
            </w:r>
          </w:p>
        </w:tc>
        <w:tc>
          <w:tcPr>
            <w:tcW w:w="255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Фактическое количество подготовленных отзывов (возражений) ГАБС &lt;**&gt;</w:t>
            </w:r>
          </w:p>
        </w:tc>
        <w:tc>
          <w:tcPr>
            <w:tcW w:w="3968"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Количество принятых судом исковых заявлений и направленных заявителем в суд дополнений (изменений) к исковым требованиям к ГАБС по соответствующим делам</w:t>
            </w:r>
          </w:p>
        </w:tc>
      </w:tr>
      <w:tr w:rsidR="003B5F75" w:rsidRPr="003B5F75">
        <w:tc>
          <w:tcPr>
            <w:tcW w:w="2551" w:type="dxa"/>
          </w:tcPr>
          <w:p w:rsidR="003B5F75" w:rsidRPr="003B5F75" w:rsidRDefault="003B5F75">
            <w:pPr>
              <w:pStyle w:val="ConsPlusNormal"/>
              <w:jc w:val="center"/>
              <w:rPr>
                <w:rFonts w:ascii="Times New Roman" w:hAnsi="Times New Roman" w:cs="Times New Roman"/>
                <w:color w:val="000000" w:themeColor="text1"/>
                <w:sz w:val="24"/>
                <w:szCs w:val="24"/>
              </w:rPr>
            </w:pPr>
          </w:p>
        </w:tc>
        <w:tc>
          <w:tcPr>
            <w:tcW w:w="2551" w:type="dxa"/>
          </w:tcPr>
          <w:p w:rsidR="003B5F75" w:rsidRPr="003B5F75" w:rsidRDefault="003B5F75">
            <w:pPr>
              <w:pStyle w:val="ConsPlusNormal"/>
              <w:jc w:val="center"/>
              <w:rPr>
                <w:rFonts w:ascii="Times New Roman" w:hAnsi="Times New Roman" w:cs="Times New Roman"/>
                <w:color w:val="000000" w:themeColor="text1"/>
                <w:sz w:val="24"/>
                <w:szCs w:val="24"/>
              </w:rPr>
            </w:pPr>
          </w:p>
        </w:tc>
        <w:tc>
          <w:tcPr>
            <w:tcW w:w="3968" w:type="dxa"/>
          </w:tcPr>
          <w:p w:rsidR="003B5F75" w:rsidRPr="003B5F75" w:rsidRDefault="003B5F75">
            <w:pPr>
              <w:pStyle w:val="ConsPlusNormal"/>
              <w:jc w:val="center"/>
              <w:rPr>
                <w:rFonts w:ascii="Times New Roman" w:hAnsi="Times New Roman" w:cs="Times New Roman"/>
                <w:color w:val="000000" w:themeColor="text1"/>
                <w:sz w:val="24"/>
                <w:szCs w:val="24"/>
              </w:rPr>
            </w:pPr>
          </w:p>
        </w:tc>
      </w:tr>
    </w:tbl>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outlineLvl w:val="2"/>
        <w:rPr>
          <w:rFonts w:ascii="Times New Roman" w:hAnsi="Times New Roman" w:cs="Times New Roman"/>
          <w:color w:val="000000" w:themeColor="text1"/>
          <w:sz w:val="24"/>
          <w:szCs w:val="24"/>
        </w:rPr>
      </w:pPr>
      <w:bookmarkStart w:id="7" w:name="P888"/>
      <w:bookmarkEnd w:id="7"/>
      <w:r w:rsidRPr="003B5F75">
        <w:rPr>
          <w:rFonts w:ascii="Times New Roman" w:hAnsi="Times New Roman" w:cs="Times New Roman"/>
          <w:color w:val="000000" w:themeColor="text1"/>
          <w:sz w:val="24"/>
          <w:szCs w:val="24"/>
        </w:rPr>
        <w:t xml:space="preserve">7. Информация для расчета показателя P2.27 </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Доля суммы средств, выплаченных из областного бюджета на основании предъявленных в Департамент финансов Ивановской области исполнительных листов от суммы заявленных исковых требований об обращении взыскания на средства областного бюджета</w:t>
      </w:r>
      <w:r>
        <w:rPr>
          <w:rFonts w:ascii="Times New Roman" w:hAnsi="Times New Roman" w:cs="Times New Roman"/>
          <w:color w:val="000000" w:themeColor="text1"/>
          <w:sz w:val="24"/>
          <w:szCs w:val="24"/>
        </w:rPr>
        <w:t>»</w:t>
      </w:r>
      <w:r w:rsidRPr="003B5F75">
        <w:rPr>
          <w:rFonts w:ascii="Times New Roman" w:hAnsi="Times New Roman" w:cs="Times New Roman"/>
          <w:color w:val="000000" w:themeColor="text1"/>
          <w:sz w:val="24"/>
          <w:szCs w:val="24"/>
        </w:rPr>
        <w:t xml:space="preserve"> &lt;**&gt;:</w:t>
      </w:r>
    </w:p>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401"/>
        <w:gridCol w:w="2834"/>
      </w:tblGrid>
      <w:tr w:rsidR="003B5F75" w:rsidRPr="003B5F75">
        <w:tc>
          <w:tcPr>
            <w:tcW w:w="283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lastRenderedPageBreak/>
              <w:t>Наименование суда, номер судебного дела</w:t>
            </w:r>
          </w:p>
        </w:tc>
        <w:tc>
          <w:tcPr>
            <w:tcW w:w="340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Сумма средств, заявленных в исковых требованиях (с учетом уточнений исковых требований) и судебных расходов, в рублях</w:t>
            </w:r>
          </w:p>
        </w:tc>
        <w:tc>
          <w:tcPr>
            <w:tcW w:w="283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Сумма средств, взысканная судом, в рублях</w:t>
            </w:r>
          </w:p>
        </w:tc>
      </w:tr>
      <w:tr w:rsidR="003B5F75" w:rsidRPr="003B5F75">
        <w:tc>
          <w:tcPr>
            <w:tcW w:w="2834" w:type="dxa"/>
          </w:tcPr>
          <w:p w:rsidR="003B5F75" w:rsidRPr="003B5F75" w:rsidRDefault="003B5F75">
            <w:pPr>
              <w:pStyle w:val="ConsPlusNormal"/>
              <w:rPr>
                <w:rFonts w:ascii="Times New Roman" w:hAnsi="Times New Roman" w:cs="Times New Roman"/>
                <w:color w:val="000000" w:themeColor="text1"/>
                <w:sz w:val="24"/>
                <w:szCs w:val="24"/>
              </w:rPr>
            </w:pPr>
          </w:p>
        </w:tc>
        <w:tc>
          <w:tcPr>
            <w:tcW w:w="3401" w:type="dxa"/>
          </w:tcPr>
          <w:p w:rsidR="003B5F75" w:rsidRPr="003B5F75" w:rsidRDefault="003B5F75">
            <w:pPr>
              <w:pStyle w:val="ConsPlusNormal"/>
              <w:rPr>
                <w:rFonts w:ascii="Times New Roman" w:hAnsi="Times New Roman" w:cs="Times New Roman"/>
                <w:color w:val="000000" w:themeColor="text1"/>
                <w:sz w:val="24"/>
                <w:szCs w:val="24"/>
              </w:rPr>
            </w:pPr>
          </w:p>
        </w:tc>
        <w:tc>
          <w:tcPr>
            <w:tcW w:w="2834" w:type="dxa"/>
          </w:tcPr>
          <w:p w:rsidR="003B5F75" w:rsidRPr="003B5F75" w:rsidRDefault="003B5F75">
            <w:pPr>
              <w:pStyle w:val="ConsPlusNormal"/>
              <w:rPr>
                <w:rFonts w:ascii="Times New Roman" w:hAnsi="Times New Roman" w:cs="Times New Roman"/>
                <w:color w:val="000000" w:themeColor="text1"/>
                <w:sz w:val="24"/>
                <w:szCs w:val="24"/>
              </w:rPr>
            </w:pPr>
          </w:p>
        </w:tc>
      </w:tr>
    </w:tbl>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&lt;*&gt; - информация о плане финансово-хозяйственной деятельности и отчете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представляется с 01.01.2026.</w:t>
      </w:r>
    </w:p>
    <w:p w:rsidR="003B5F75" w:rsidRPr="003B5F75" w:rsidRDefault="003B5F75">
      <w:pPr>
        <w:pStyle w:val="ConsPlusNormal"/>
        <w:spacing w:before="220"/>
        <w:ind w:firstLine="540"/>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 xml:space="preserve">&lt;**&gt; - информация заполняется в случае отсутствия направленной (представленной) информации ГАБС в Департамент финансов Ивановской области в установленных им Порядках, принятых согласно </w:t>
      </w:r>
      <w:hyperlink r:id="rId19">
        <w:r w:rsidRPr="003B5F75">
          <w:rPr>
            <w:rFonts w:ascii="Times New Roman" w:hAnsi="Times New Roman" w:cs="Times New Roman"/>
            <w:color w:val="000000" w:themeColor="text1"/>
            <w:sz w:val="24"/>
            <w:szCs w:val="24"/>
          </w:rPr>
          <w:t>ст. 242.2</w:t>
        </w:r>
      </w:hyperlink>
      <w:r w:rsidRPr="003B5F75">
        <w:rPr>
          <w:rFonts w:ascii="Times New Roman" w:hAnsi="Times New Roman" w:cs="Times New Roman"/>
          <w:color w:val="000000" w:themeColor="text1"/>
          <w:sz w:val="24"/>
          <w:szCs w:val="24"/>
        </w:rPr>
        <w:t xml:space="preserve"> БК РФ.</w:t>
      </w: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right"/>
        <w:outlineLvl w:val="1"/>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Приложение 3</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к Порядку</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проведения Департаментом финансов Ивановской области</w:t>
      </w:r>
    </w:p>
    <w:p w:rsidR="003B5F75" w:rsidRPr="003B5F75" w:rsidRDefault="003B5F75">
      <w:pPr>
        <w:pStyle w:val="ConsPlusNormal"/>
        <w:jc w:val="right"/>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мониторинга качества финансового менеджмента</w:t>
      </w:r>
    </w:p>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B5F75" w:rsidRPr="003B5F75">
        <w:tc>
          <w:tcPr>
            <w:tcW w:w="9070" w:type="dxa"/>
            <w:tcBorders>
              <w:top w:val="nil"/>
              <w:left w:val="nil"/>
              <w:bottom w:val="nil"/>
              <w:right w:val="nil"/>
            </w:tcBorders>
          </w:tcPr>
          <w:p w:rsidR="003B5F75" w:rsidRPr="003B5F75" w:rsidRDefault="003B5F75">
            <w:pPr>
              <w:pStyle w:val="ConsPlusNormal"/>
              <w:jc w:val="center"/>
              <w:rPr>
                <w:rFonts w:ascii="Times New Roman" w:hAnsi="Times New Roman" w:cs="Times New Roman"/>
                <w:color w:val="000000" w:themeColor="text1"/>
                <w:sz w:val="24"/>
                <w:szCs w:val="24"/>
              </w:rPr>
            </w:pPr>
            <w:bookmarkStart w:id="8" w:name="P910"/>
            <w:bookmarkEnd w:id="8"/>
            <w:r w:rsidRPr="003B5F75">
              <w:rPr>
                <w:rFonts w:ascii="Times New Roman" w:hAnsi="Times New Roman" w:cs="Times New Roman"/>
                <w:color w:val="000000" w:themeColor="text1"/>
                <w:sz w:val="24"/>
                <w:szCs w:val="24"/>
              </w:rPr>
              <w:t>СВЕДЕНИЯ</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 реализации мер, направленных на повышение качества финансового менеджмента</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за __________ год</w:t>
            </w:r>
          </w:p>
        </w:tc>
      </w:tr>
      <w:tr w:rsidR="003B5F75" w:rsidRPr="003B5F75">
        <w:tc>
          <w:tcPr>
            <w:tcW w:w="9070" w:type="dxa"/>
            <w:tcBorders>
              <w:top w:val="nil"/>
              <w:left w:val="nil"/>
              <w:bottom w:val="nil"/>
              <w:right w:val="nil"/>
            </w:tcBorders>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Главный администратор средств</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областного бюджета ________________________________________________________</w:t>
            </w:r>
          </w:p>
        </w:tc>
      </w:tr>
    </w:tbl>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644"/>
        <w:gridCol w:w="1701"/>
        <w:gridCol w:w="1134"/>
        <w:gridCol w:w="1134"/>
      </w:tblGrid>
      <w:tr w:rsidR="003B5F75" w:rsidRPr="003B5F75">
        <w:tc>
          <w:tcPr>
            <w:tcW w:w="1814"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Наименование направления оценки качества</w:t>
            </w:r>
          </w:p>
        </w:tc>
        <w:tc>
          <w:tcPr>
            <w:tcW w:w="1644"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Отклонение от целевого значения направления оценки качества в %</w:t>
            </w:r>
          </w:p>
        </w:tc>
        <w:tc>
          <w:tcPr>
            <w:tcW w:w="1644" w:type="dxa"/>
            <w:vMerge w:val="restart"/>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Причина(ы) отклонения</w:t>
            </w:r>
          </w:p>
        </w:tc>
        <w:tc>
          <w:tcPr>
            <w:tcW w:w="3969" w:type="dxa"/>
            <w:gridSpan w:val="3"/>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Исполнение мер, направленных на повышение качества финансового менеджмента</w:t>
            </w:r>
          </w:p>
        </w:tc>
      </w:tr>
      <w:tr w:rsidR="003B5F75" w:rsidRPr="003B5F75">
        <w:tc>
          <w:tcPr>
            <w:tcW w:w="181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vMerge/>
          </w:tcPr>
          <w:p w:rsidR="003B5F75" w:rsidRPr="003B5F75" w:rsidRDefault="003B5F75">
            <w:pPr>
              <w:pStyle w:val="ConsPlusNormal"/>
              <w:rPr>
                <w:rFonts w:ascii="Times New Roman" w:hAnsi="Times New Roman" w:cs="Times New Roman"/>
                <w:color w:val="000000" w:themeColor="text1"/>
                <w:sz w:val="24"/>
                <w:szCs w:val="24"/>
              </w:rPr>
            </w:pPr>
          </w:p>
        </w:tc>
        <w:tc>
          <w:tcPr>
            <w:tcW w:w="170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Наименование мероприятия</w:t>
            </w:r>
          </w:p>
        </w:tc>
        <w:tc>
          <w:tcPr>
            <w:tcW w:w="113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Срок исполнения</w:t>
            </w:r>
          </w:p>
        </w:tc>
        <w:tc>
          <w:tcPr>
            <w:tcW w:w="113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Отметка об исполнении</w:t>
            </w:r>
          </w:p>
        </w:tc>
      </w:tr>
      <w:tr w:rsidR="003B5F75" w:rsidRPr="003B5F75">
        <w:tc>
          <w:tcPr>
            <w:tcW w:w="181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1</w:t>
            </w:r>
          </w:p>
        </w:tc>
        <w:tc>
          <w:tcPr>
            <w:tcW w:w="164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2</w:t>
            </w:r>
          </w:p>
        </w:tc>
        <w:tc>
          <w:tcPr>
            <w:tcW w:w="164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3</w:t>
            </w:r>
          </w:p>
        </w:tc>
        <w:tc>
          <w:tcPr>
            <w:tcW w:w="1701"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4</w:t>
            </w:r>
          </w:p>
        </w:tc>
        <w:tc>
          <w:tcPr>
            <w:tcW w:w="113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5</w:t>
            </w:r>
          </w:p>
        </w:tc>
        <w:tc>
          <w:tcPr>
            <w:tcW w:w="1134" w:type="dxa"/>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6</w:t>
            </w:r>
          </w:p>
        </w:tc>
      </w:tr>
      <w:tr w:rsidR="003B5F75" w:rsidRPr="003B5F75">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701"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701"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701"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701"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701"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r>
      <w:tr w:rsidR="003B5F75" w:rsidRPr="003B5F75">
        <w:tc>
          <w:tcPr>
            <w:tcW w:w="181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644" w:type="dxa"/>
          </w:tcPr>
          <w:p w:rsidR="003B5F75" w:rsidRPr="003B5F75" w:rsidRDefault="003B5F75">
            <w:pPr>
              <w:pStyle w:val="ConsPlusNormal"/>
              <w:rPr>
                <w:rFonts w:ascii="Times New Roman" w:hAnsi="Times New Roman" w:cs="Times New Roman"/>
                <w:color w:val="000000" w:themeColor="text1"/>
                <w:sz w:val="24"/>
                <w:szCs w:val="24"/>
              </w:rPr>
            </w:pPr>
          </w:p>
        </w:tc>
        <w:tc>
          <w:tcPr>
            <w:tcW w:w="1701"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c>
          <w:tcPr>
            <w:tcW w:w="1134" w:type="dxa"/>
          </w:tcPr>
          <w:p w:rsidR="003B5F75" w:rsidRPr="003B5F75" w:rsidRDefault="003B5F75">
            <w:pPr>
              <w:pStyle w:val="ConsPlusNormal"/>
              <w:rPr>
                <w:rFonts w:ascii="Times New Roman" w:hAnsi="Times New Roman" w:cs="Times New Roman"/>
                <w:color w:val="000000" w:themeColor="text1"/>
                <w:sz w:val="24"/>
                <w:szCs w:val="24"/>
              </w:rPr>
            </w:pPr>
          </w:p>
        </w:tc>
      </w:tr>
    </w:tbl>
    <w:p w:rsidR="003B5F75" w:rsidRPr="003B5F75" w:rsidRDefault="003B5F75">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903"/>
        <w:gridCol w:w="1904"/>
        <w:gridCol w:w="3449"/>
      </w:tblGrid>
      <w:tr w:rsidR="003B5F75" w:rsidRPr="003B5F75">
        <w:tc>
          <w:tcPr>
            <w:tcW w:w="1814" w:type="dxa"/>
            <w:tcBorders>
              <w:top w:val="nil"/>
              <w:left w:val="nil"/>
              <w:bottom w:val="nil"/>
              <w:right w:val="nil"/>
            </w:tcBorders>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Руководитель</w:t>
            </w:r>
          </w:p>
        </w:tc>
        <w:tc>
          <w:tcPr>
            <w:tcW w:w="1903" w:type="dxa"/>
            <w:tcBorders>
              <w:top w:val="nil"/>
              <w:left w:val="nil"/>
              <w:bottom w:val="nil"/>
              <w:right w:val="nil"/>
            </w:tcBorders>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_____________</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(должность)</w:t>
            </w:r>
          </w:p>
        </w:tc>
        <w:tc>
          <w:tcPr>
            <w:tcW w:w="1904" w:type="dxa"/>
            <w:tcBorders>
              <w:top w:val="nil"/>
              <w:left w:val="nil"/>
              <w:bottom w:val="nil"/>
              <w:right w:val="nil"/>
            </w:tcBorders>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____________</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(подпись)</w:t>
            </w:r>
          </w:p>
        </w:tc>
        <w:tc>
          <w:tcPr>
            <w:tcW w:w="3449" w:type="dxa"/>
            <w:tcBorders>
              <w:top w:val="nil"/>
              <w:left w:val="nil"/>
              <w:bottom w:val="nil"/>
              <w:right w:val="nil"/>
            </w:tcBorders>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_____________________</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(ФИО)</w:t>
            </w:r>
          </w:p>
        </w:tc>
      </w:tr>
      <w:tr w:rsidR="003B5F75" w:rsidRPr="003B5F75">
        <w:tc>
          <w:tcPr>
            <w:tcW w:w="1814" w:type="dxa"/>
            <w:tcBorders>
              <w:top w:val="nil"/>
              <w:left w:val="nil"/>
              <w:bottom w:val="nil"/>
              <w:right w:val="nil"/>
            </w:tcBorders>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Исполнитель</w:t>
            </w:r>
          </w:p>
        </w:tc>
        <w:tc>
          <w:tcPr>
            <w:tcW w:w="1903" w:type="dxa"/>
            <w:tcBorders>
              <w:top w:val="nil"/>
              <w:left w:val="nil"/>
              <w:bottom w:val="nil"/>
              <w:right w:val="nil"/>
            </w:tcBorders>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_____________</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(должность)</w:t>
            </w:r>
          </w:p>
        </w:tc>
        <w:tc>
          <w:tcPr>
            <w:tcW w:w="1904" w:type="dxa"/>
            <w:tcBorders>
              <w:top w:val="nil"/>
              <w:left w:val="nil"/>
              <w:bottom w:val="nil"/>
              <w:right w:val="nil"/>
            </w:tcBorders>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____________</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(ФИО)</w:t>
            </w:r>
          </w:p>
        </w:tc>
        <w:tc>
          <w:tcPr>
            <w:tcW w:w="3449" w:type="dxa"/>
            <w:tcBorders>
              <w:top w:val="nil"/>
              <w:left w:val="nil"/>
              <w:bottom w:val="nil"/>
              <w:right w:val="nil"/>
            </w:tcBorders>
          </w:tcPr>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_________________</w:t>
            </w:r>
          </w:p>
          <w:p w:rsidR="003B5F75" w:rsidRPr="003B5F75" w:rsidRDefault="003B5F75">
            <w:pPr>
              <w:pStyle w:val="ConsPlusNormal"/>
              <w:jc w:val="center"/>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(телефон)</w:t>
            </w:r>
          </w:p>
        </w:tc>
      </w:tr>
      <w:tr w:rsidR="003B5F75" w:rsidRPr="003B5F75">
        <w:tc>
          <w:tcPr>
            <w:tcW w:w="9070" w:type="dxa"/>
            <w:gridSpan w:val="4"/>
            <w:tcBorders>
              <w:top w:val="nil"/>
              <w:left w:val="nil"/>
              <w:bottom w:val="nil"/>
              <w:right w:val="nil"/>
            </w:tcBorders>
          </w:tcPr>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______________________________</w:t>
            </w:r>
          </w:p>
          <w:p w:rsidR="003B5F75" w:rsidRPr="003B5F75" w:rsidRDefault="003B5F75">
            <w:pPr>
              <w:pStyle w:val="ConsPlusNormal"/>
              <w:jc w:val="both"/>
              <w:rPr>
                <w:rFonts w:ascii="Times New Roman" w:hAnsi="Times New Roman" w:cs="Times New Roman"/>
                <w:color w:val="000000" w:themeColor="text1"/>
                <w:sz w:val="24"/>
                <w:szCs w:val="24"/>
              </w:rPr>
            </w:pPr>
            <w:r w:rsidRPr="003B5F75">
              <w:rPr>
                <w:rFonts w:ascii="Times New Roman" w:hAnsi="Times New Roman" w:cs="Times New Roman"/>
                <w:color w:val="000000" w:themeColor="text1"/>
                <w:sz w:val="24"/>
                <w:szCs w:val="24"/>
              </w:rPr>
              <w:t>(дата)</w:t>
            </w:r>
          </w:p>
        </w:tc>
      </w:tr>
    </w:tbl>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jc w:val="both"/>
        <w:rPr>
          <w:rFonts w:ascii="Times New Roman" w:hAnsi="Times New Roman" w:cs="Times New Roman"/>
          <w:color w:val="000000" w:themeColor="text1"/>
          <w:sz w:val="24"/>
          <w:szCs w:val="24"/>
        </w:rPr>
      </w:pPr>
    </w:p>
    <w:p w:rsidR="003B5F75" w:rsidRPr="003B5F75" w:rsidRDefault="003B5F75">
      <w:pPr>
        <w:pStyle w:val="ConsPlusNormal"/>
        <w:pBdr>
          <w:bottom w:val="single" w:sz="6" w:space="0" w:color="auto"/>
        </w:pBdr>
        <w:spacing w:before="100" w:after="100"/>
        <w:jc w:val="both"/>
        <w:rPr>
          <w:rFonts w:ascii="Times New Roman" w:hAnsi="Times New Roman" w:cs="Times New Roman"/>
          <w:color w:val="000000" w:themeColor="text1"/>
          <w:sz w:val="24"/>
          <w:szCs w:val="24"/>
        </w:rPr>
      </w:pPr>
    </w:p>
    <w:p w:rsidR="0047664B" w:rsidRPr="003B5F75" w:rsidRDefault="0047664B">
      <w:pPr>
        <w:rPr>
          <w:rFonts w:ascii="Times New Roman" w:hAnsi="Times New Roman" w:cs="Times New Roman"/>
          <w:color w:val="000000" w:themeColor="text1"/>
          <w:sz w:val="24"/>
          <w:szCs w:val="24"/>
        </w:rPr>
      </w:pPr>
    </w:p>
    <w:sectPr w:rsidR="0047664B" w:rsidRPr="003B5F7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75"/>
    <w:rsid w:val="003B5F75"/>
    <w:rsid w:val="0047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AC18F-C500-41D0-9582-59650F1E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F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5F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5F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5F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5F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5F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5F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5F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https://login.consultant.ru/link/?req=doc&amp;base=RLAW224&amp;n=160678&amp;dst=100020" TargetMode="External"/><Relationship Id="rId18" Type="http://schemas.openxmlformats.org/officeDocument/2006/relationships/hyperlink" Target="https://login.consultant.ru/link/?req=doc&amp;base=LAW&amp;n=480810&amp;dst=10299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hyperlink" Target="https://login.consultant.ru/link/?req=doc&amp;base=RLAW224&amp;n=186478&amp;dst=100210" TargetMode="External"/><Relationship Id="rId17" Type="http://schemas.openxmlformats.org/officeDocument/2006/relationships/hyperlink" Target="https://login.consultant.ru/link/?req=doc&amp;base=LAW&amp;n=480810&amp;dst=102998" TargetMode="External"/><Relationship Id="rId2" Type="http://schemas.openxmlformats.org/officeDocument/2006/relationships/settings" Target="settings.xml"/><Relationship Id="rId16" Type="http://schemas.openxmlformats.org/officeDocument/2006/relationships/hyperlink" Target="https://login.consultant.ru/link/?req=doc&amp;base=LAW&amp;n=20200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hyperlink" Target="https://login.consultant.ru/link/?req=doc&amp;base=RLAW224&amp;n=185522" TargetMode="External"/><Relationship Id="rId10" Type="http://schemas.openxmlformats.org/officeDocument/2006/relationships/image" Target="media/image6.wmf"/><Relationship Id="rId19" Type="http://schemas.openxmlformats.org/officeDocument/2006/relationships/hyperlink" Target="https://login.consultant.ru/link/?req=doc&amp;base=LAW&amp;n=480810&amp;dst=102998" TargetMode="External"/><Relationship Id="rId4" Type="http://schemas.openxmlformats.org/officeDocument/2006/relationships/hyperlink" Target="https://login.consultant.ru/link/?req=doc&amp;base=LAW&amp;n=480810&amp;dst=4890" TargetMode="External"/><Relationship Id="rId9" Type="http://schemas.openxmlformats.org/officeDocument/2006/relationships/image" Target="media/image5.wmf"/><Relationship Id="rId14" Type="http://schemas.openxmlformats.org/officeDocument/2006/relationships/hyperlink" Target="https://login.consultant.ru/link/?req=doc&amp;base=RLAW224&amp;n=185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7896</Words>
  <Characters>45010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2024-07-30T07:52:00Z</dcterms:created>
  <dcterms:modified xsi:type="dcterms:W3CDTF">2024-07-30T07:56:00Z</dcterms:modified>
</cp:coreProperties>
</file>